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C79CA">
      <w:pPr>
        <w:jc w:val="center"/>
        <w:rPr>
          <w:rFonts w:hint="eastAsia" w:ascii="Calibri" w:hAnsi="Calibri" w:eastAsia="宋体" w:cs="Times New Roman"/>
          <w:b/>
          <w:sz w:val="44"/>
          <w:szCs w:val="44"/>
          <w:lang w:eastAsia="zh-CN"/>
        </w:rPr>
      </w:pPr>
      <w:r>
        <w:rPr>
          <w:rFonts w:hint="eastAsia" w:ascii="Calibri" w:hAnsi="Calibri" w:eastAsia="宋体" w:cs="Times New Roman"/>
          <w:b/>
          <w:sz w:val="44"/>
          <w:szCs w:val="44"/>
          <w:lang w:eastAsia="zh-CN"/>
        </w:rPr>
        <w:t>不予处罚事项清单</w:t>
      </w:r>
    </w:p>
    <w:p w14:paraId="46F8280C">
      <w:pPr>
        <w:jc w:val="center"/>
        <w:rPr>
          <w:rFonts w:hint="eastAsia" w:ascii="Calibri" w:hAnsi="Calibri" w:eastAsia="宋体" w:cs="Times New Roman"/>
          <w:b/>
          <w:sz w:val="44"/>
          <w:szCs w:val="44"/>
          <w:lang w:val="en-US" w:eastAsia="zh-CN"/>
        </w:rPr>
      </w:pPr>
    </w:p>
    <w:p w14:paraId="6F0DD6BB">
      <w:pPr>
        <w:jc w:val="both"/>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填报单位：科右前旗文化市场综合行政执法局                          联系人及电话：于晓勇   13948293209</w:t>
      </w:r>
    </w:p>
    <w:tbl>
      <w:tblPr>
        <w:tblStyle w:val="5"/>
        <w:tblW w:w="14316"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2268"/>
        <w:gridCol w:w="6017"/>
        <w:gridCol w:w="1800"/>
        <w:gridCol w:w="2367"/>
        <w:gridCol w:w="1116"/>
      </w:tblGrid>
      <w:tr w14:paraId="4EB4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48" w:type="dxa"/>
            <w:vAlign w:val="center"/>
          </w:tcPr>
          <w:p w14:paraId="325B8504">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序号</w:t>
            </w:r>
          </w:p>
        </w:tc>
        <w:tc>
          <w:tcPr>
            <w:tcW w:w="2268" w:type="dxa"/>
            <w:vAlign w:val="center"/>
          </w:tcPr>
          <w:p w14:paraId="6E708B50">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行政处罚事项</w:t>
            </w:r>
          </w:p>
        </w:tc>
        <w:tc>
          <w:tcPr>
            <w:tcW w:w="6017" w:type="dxa"/>
            <w:vAlign w:val="center"/>
          </w:tcPr>
          <w:p w14:paraId="40872C55">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法律依据</w:t>
            </w:r>
          </w:p>
        </w:tc>
        <w:tc>
          <w:tcPr>
            <w:tcW w:w="1800" w:type="dxa"/>
            <w:vAlign w:val="center"/>
          </w:tcPr>
          <w:p w14:paraId="1B655670">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实施主体</w:t>
            </w:r>
          </w:p>
        </w:tc>
        <w:tc>
          <w:tcPr>
            <w:tcW w:w="2367" w:type="dxa"/>
            <w:vAlign w:val="center"/>
          </w:tcPr>
          <w:p w14:paraId="72D77914">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不予处罚</w:t>
            </w:r>
            <w:bookmarkStart w:id="0" w:name="_GoBack"/>
            <w:bookmarkEnd w:id="0"/>
            <w:r>
              <w:rPr>
                <w:rFonts w:hint="eastAsia" w:ascii="仿宋" w:hAnsi="仿宋" w:eastAsia="仿宋" w:cs="仿宋"/>
                <w:szCs w:val="21"/>
                <w:lang w:val="en-US" w:eastAsia="zh-CN"/>
              </w:rPr>
              <w:t>适用情形</w:t>
            </w:r>
          </w:p>
        </w:tc>
        <w:tc>
          <w:tcPr>
            <w:tcW w:w="1116" w:type="dxa"/>
            <w:vAlign w:val="center"/>
          </w:tcPr>
          <w:p w14:paraId="267C1C69">
            <w:pPr>
              <w:jc w:val="center"/>
              <w:rPr>
                <w:rFonts w:hint="eastAsia"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备注</w:t>
            </w:r>
          </w:p>
        </w:tc>
      </w:tr>
      <w:tr w14:paraId="1569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8" w:type="dxa"/>
            <w:vAlign w:val="center"/>
          </w:tcPr>
          <w:p w14:paraId="5279AB2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2268" w:type="dxa"/>
            <w:vAlign w:val="center"/>
          </w:tcPr>
          <w:p w14:paraId="04AAD89C">
            <w:pPr>
              <w:rPr>
                <w:rFonts w:hint="eastAsia" w:ascii="仿宋" w:hAnsi="仿宋" w:eastAsia="仿宋" w:cs="仿宋"/>
                <w:szCs w:val="21"/>
                <w:lang w:val="en-US" w:eastAsia="zh-CN"/>
              </w:rPr>
            </w:pPr>
            <w:r>
              <w:rPr>
                <w:rFonts w:hint="eastAsia" w:ascii="仿宋" w:hAnsi="仿宋" w:eastAsia="仿宋" w:cs="仿宋"/>
                <w:color w:val="000000"/>
              </w:rPr>
              <w:t>未悬挂《网络文化经营许可证》</w:t>
            </w:r>
          </w:p>
        </w:tc>
        <w:tc>
          <w:tcPr>
            <w:tcW w:w="6017" w:type="dxa"/>
            <w:vAlign w:val="center"/>
          </w:tcPr>
          <w:p w14:paraId="068DB6F9">
            <w:pPr>
              <w:jc w:val="left"/>
              <w:rPr>
                <w:rFonts w:hint="default" w:ascii="仿宋" w:hAnsi="仿宋" w:eastAsia="仿宋" w:cs="仿宋"/>
                <w:szCs w:val="21"/>
                <w:lang w:val="en-US" w:eastAsia="zh-CN"/>
              </w:rPr>
            </w:pPr>
            <w:r>
              <w:rPr>
                <w:rFonts w:hint="eastAsia" w:ascii="仿宋" w:hAnsi="仿宋" w:eastAsia="仿宋" w:cs="仿宋"/>
                <w:color w:val="000000"/>
                <w:lang w:eastAsia="zh-CN"/>
              </w:rPr>
              <w:t>《</w:t>
            </w:r>
            <w:r>
              <w:rPr>
                <w:rFonts w:hint="eastAsia" w:ascii="仿宋" w:hAnsi="仿宋" w:eastAsia="仿宋" w:cs="仿宋"/>
                <w:color w:val="000000"/>
              </w:rPr>
              <w:t>互联网上网服务营业场所管理条例》第</w:t>
            </w:r>
            <w:r>
              <w:rPr>
                <w:rFonts w:hint="eastAsia" w:ascii="仿宋" w:hAnsi="仿宋" w:eastAsia="仿宋" w:cs="仿宋"/>
                <w:color w:val="000000"/>
                <w:lang w:val="en-US" w:eastAsia="zh-CN"/>
              </w:rPr>
              <w:t>二十</w:t>
            </w:r>
            <w:r>
              <w:rPr>
                <w:rFonts w:hint="eastAsia" w:ascii="仿宋" w:hAnsi="仿宋" w:eastAsia="仿宋" w:cs="仿宋"/>
                <w:color w:val="000000"/>
              </w:rPr>
              <w:t xml:space="preserve">条 </w:t>
            </w:r>
            <w:r>
              <w:rPr>
                <w:rFonts w:hint="eastAsia" w:ascii="仿宋" w:hAnsi="仿宋" w:eastAsia="仿宋" w:cs="仿宋"/>
                <w:color w:val="000000"/>
                <w:lang w:val="en-US" w:eastAsia="zh-CN"/>
              </w:rPr>
              <w:t xml:space="preserve"> 互联网上网服务营业场所经营单位应当在营业场所的显著位置悬挂《网络文化经营许可证》和营业执照。</w:t>
            </w:r>
          </w:p>
        </w:tc>
        <w:tc>
          <w:tcPr>
            <w:tcW w:w="1800" w:type="dxa"/>
            <w:vAlign w:val="center"/>
          </w:tcPr>
          <w:p w14:paraId="418708CD">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7A33FCDD">
            <w:pPr>
              <w:jc w:val="left"/>
              <w:rPr>
                <w:rFonts w:hint="default" w:ascii="仿宋" w:hAnsi="仿宋" w:eastAsia="仿宋" w:cs="仿宋"/>
                <w:szCs w:val="21"/>
                <w:lang w:val="en-US" w:eastAsia="zh-CN"/>
              </w:rPr>
            </w:pPr>
            <w:r>
              <w:rPr>
                <w:rFonts w:hint="eastAsia" w:ascii="仿宋" w:hAnsi="仿宋" w:eastAsia="仿宋" w:cs="仿宋"/>
                <w:color w:val="000000"/>
                <w:lang w:val="en-US" w:eastAsia="zh-CN"/>
              </w:rPr>
              <w:t>初次违法，危害后果轻微，立即改正。</w:t>
            </w:r>
          </w:p>
        </w:tc>
        <w:tc>
          <w:tcPr>
            <w:tcW w:w="1116" w:type="dxa"/>
            <w:vAlign w:val="center"/>
          </w:tcPr>
          <w:p w14:paraId="0D26B618">
            <w:pPr>
              <w:jc w:val="left"/>
              <w:rPr>
                <w:rFonts w:hint="eastAsia"/>
                <w:sz w:val="32"/>
                <w:szCs w:val="32"/>
                <w:vertAlign w:val="baseline"/>
                <w:lang w:eastAsia="zh-CN"/>
              </w:rPr>
            </w:pPr>
          </w:p>
        </w:tc>
      </w:tr>
      <w:tr w14:paraId="4C59E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9" w:hRule="atLeast"/>
        </w:trPr>
        <w:tc>
          <w:tcPr>
            <w:tcW w:w="748" w:type="dxa"/>
            <w:vAlign w:val="center"/>
          </w:tcPr>
          <w:p w14:paraId="03875AF9">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2</w:t>
            </w:r>
          </w:p>
        </w:tc>
        <w:tc>
          <w:tcPr>
            <w:tcW w:w="2268" w:type="dxa"/>
            <w:vAlign w:val="center"/>
          </w:tcPr>
          <w:p w14:paraId="3436AB3B">
            <w:pPr>
              <w:rPr>
                <w:rFonts w:hint="default" w:ascii="仿宋" w:hAnsi="仿宋" w:eastAsia="仿宋" w:cs="仿宋"/>
                <w:color w:val="000000"/>
                <w:lang w:val="en-US" w:eastAsia="zh-CN"/>
              </w:rPr>
            </w:pPr>
            <w:r>
              <w:rPr>
                <w:rFonts w:hint="eastAsia" w:ascii="仿宋" w:hAnsi="仿宋" w:eastAsia="仿宋" w:cs="仿宋"/>
                <w:color w:val="000000"/>
                <w:lang w:val="en-US" w:eastAsia="zh-CN"/>
              </w:rPr>
              <w:t>设立从事艺术品经营活动的经营单位未到住所地县级以上人民政府文化行政部门备案</w:t>
            </w:r>
          </w:p>
        </w:tc>
        <w:tc>
          <w:tcPr>
            <w:tcW w:w="6017" w:type="dxa"/>
            <w:vAlign w:val="center"/>
          </w:tcPr>
          <w:p w14:paraId="01E9F307">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《艺术品经营管理办法》第五条第一款  设立从事艺术品经营活动的经营单位，应当到其住所地县级以上人民政府工商行政管理部门申领营业执照，并在领取营业执照之日起15日内，到其住所地县级以上人民政府文化行政部门备案。</w:t>
            </w:r>
          </w:p>
        </w:tc>
        <w:tc>
          <w:tcPr>
            <w:tcW w:w="1800" w:type="dxa"/>
            <w:vAlign w:val="center"/>
          </w:tcPr>
          <w:p w14:paraId="1A3AB00C">
            <w:pPr>
              <w:jc w:val="center"/>
              <w:rPr>
                <w:rFonts w:hint="default" w:ascii="仿宋" w:hAnsi="仿宋" w:eastAsia="仿宋" w:cs="仿宋"/>
                <w:color w:val="000000"/>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2F5BF034">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初次违法，危害后果轻微，在执法机关限定期限内改正。</w:t>
            </w:r>
          </w:p>
        </w:tc>
        <w:tc>
          <w:tcPr>
            <w:tcW w:w="1116" w:type="dxa"/>
            <w:vAlign w:val="center"/>
          </w:tcPr>
          <w:p w14:paraId="24885171">
            <w:pPr>
              <w:jc w:val="left"/>
              <w:rPr>
                <w:rFonts w:hint="eastAsia"/>
                <w:sz w:val="32"/>
                <w:szCs w:val="32"/>
                <w:vertAlign w:val="baseline"/>
                <w:lang w:eastAsia="zh-CN"/>
              </w:rPr>
            </w:pPr>
          </w:p>
        </w:tc>
      </w:tr>
      <w:tr w14:paraId="1E3D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748" w:type="dxa"/>
            <w:vAlign w:val="center"/>
          </w:tcPr>
          <w:p w14:paraId="686FB066">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2268" w:type="dxa"/>
          </w:tcPr>
          <w:p w14:paraId="66EFDEDA">
            <w:pPr>
              <w:jc w:val="left"/>
              <w:rPr>
                <w:rFonts w:hint="default" w:ascii="仿宋" w:hAnsi="仿宋" w:eastAsia="仿宋" w:cs="仿宋"/>
                <w:szCs w:val="21"/>
                <w:lang w:val="en-US" w:eastAsia="zh-CN"/>
              </w:rPr>
            </w:pPr>
            <w:r>
              <w:rPr>
                <w:rFonts w:hint="eastAsia" w:ascii="仿宋" w:hAnsi="仿宋" w:eastAsia="仿宋" w:cs="仿宋"/>
                <w:szCs w:val="21"/>
                <w:lang w:val="en-US" w:eastAsia="zh-CN"/>
              </w:rPr>
              <w:t>其他经营单位增设艺术品经营业务的未到住所地县级以上人民政府文化行政部门备案</w:t>
            </w:r>
          </w:p>
        </w:tc>
        <w:tc>
          <w:tcPr>
            <w:tcW w:w="6017" w:type="dxa"/>
          </w:tcPr>
          <w:p w14:paraId="4E9E04A3">
            <w:pPr>
              <w:jc w:val="left"/>
              <w:rPr>
                <w:rFonts w:hint="default" w:ascii="仿宋" w:hAnsi="仿宋" w:eastAsia="仿宋" w:cs="仿宋"/>
                <w:szCs w:val="21"/>
                <w:lang w:val="en-US"/>
              </w:rPr>
            </w:pPr>
            <w:r>
              <w:rPr>
                <w:rFonts w:hint="eastAsia" w:ascii="仿宋" w:hAnsi="仿宋" w:eastAsia="仿宋" w:cs="仿宋"/>
                <w:color w:val="000000"/>
                <w:lang w:val="en-US" w:eastAsia="zh-CN"/>
              </w:rPr>
              <w:t>《艺术品经营管理办法》第五条第二款  其他经营单位增设艺术品经营业务的，应当按前款办理备案手续。</w:t>
            </w:r>
          </w:p>
        </w:tc>
        <w:tc>
          <w:tcPr>
            <w:tcW w:w="1800" w:type="dxa"/>
            <w:vAlign w:val="center"/>
          </w:tcPr>
          <w:p w14:paraId="3F9AD718">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科右前旗文化旅游体育局</w:t>
            </w:r>
          </w:p>
        </w:tc>
        <w:tc>
          <w:tcPr>
            <w:tcW w:w="2367" w:type="dxa"/>
          </w:tcPr>
          <w:p w14:paraId="0F2CCF03">
            <w:pPr>
              <w:jc w:val="left"/>
              <w:rPr>
                <w:rFonts w:hint="eastAsia" w:ascii="仿宋" w:hAnsi="仿宋" w:eastAsia="仿宋" w:cs="仿宋"/>
                <w:szCs w:val="21"/>
              </w:rPr>
            </w:pPr>
            <w:r>
              <w:rPr>
                <w:rFonts w:hint="eastAsia" w:ascii="仿宋" w:hAnsi="仿宋" w:eastAsia="仿宋" w:cs="仿宋"/>
                <w:color w:val="000000"/>
                <w:lang w:val="en-US" w:eastAsia="zh-CN"/>
              </w:rPr>
              <w:t>初次违法，危害后果轻微，在执法机关限定期限内改正。</w:t>
            </w:r>
          </w:p>
        </w:tc>
        <w:tc>
          <w:tcPr>
            <w:tcW w:w="1116" w:type="dxa"/>
          </w:tcPr>
          <w:p w14:paraId="2C04D59A">
            <w:pPr>
              <w:jc w:val="left"/>
              <w:rPr>
                <w:sz w:val="32"/>
                <w:szCs w:val="32"/>
              </w:rPr>
            </w:pPr>
          </w:p>
        </w:tc>
      </w:tr>
      <w:tr w14:paraId="3A59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atLeast"/>
        </w:trPr>
        <w:tc>
          <w:tcPr>
            <w:tcW w:w="748" w:type="dxa"/>
            <w:vAlign w:val="center"/>
          </w:tcPr>
          <w:p w14:paraId="58816747">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4</w:t>
            </w:r>
          </w:p>
        </w:tc>
        <w:tc>
          <w:tcPr>
            <w:tcW w:w="2268" w:type="dxa"/>
            <w:vAlign w:val="center"/>
          </w:tcPr>
          <w:p w14:paraId="451A6241">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娱乐场所未按照本条例规定建立从业人员名薄，营业日志</w:t>
            </w:r>
          </w:p>
        </w:tc>
        <w:tc>
          <w:tcPr>
            <w:tcW w:w="6017" w:type="dxa"/>
            <w:vAlign w:val="center"/>
          </w:tcPr>
          <w:p w14:paraId="5BC71220">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《娱乐场所管理条例》第二十五条第一款  娱乐场所应当与从业人员签订文明服务责任书，并建立从业人员名薄；从业人员名薄包括从业人员的真实姓名、居民身份证复印件、外国人就业许可证复印件等内容。第二款  娱乐场所应当建立营业日志，记载营业期间从业人员的工作职责、工作时间、工作地点；营业日志不得删改，并应当留存60日备查。</w:t>
            </w:r>
          </w:p>
        </w:tc>
        <w:tc>
          <w:tcPr>
            <w:tcW w:w="1800" w:type="dxa"/>
            <w:vAlign w:val="center"/>
          </w:tcPr>
          <w:p w14:paraId="3BBDC7BB">
            <w:pPr>
              <w:jc w:val="center"/>
              <w:rPr>
                <w:rFonts w:hint="default" w:ascii="仿宋" w:hAnsi="仿宋" w:eastAsia="仿宋" w:cs="仿宋"/>
                <w:color w:val="000000"/>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7DC5E771">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初次违法，已经建立从业人员名薄及营业日志但是相关记录记录不全，危害后果轻微，在执法机关限定期限内改正。</w:t>
            </w:r>
          </w:p>
        </w:tc>
        <w:tc>
          <w:tcPr>
            <w:tcW w:w="1116" w:type="dxa"/>
            <w:vAlign w:val="center"/>
          </w:tcPr>
          <w:p w14:paraId="33CB7211">
            <w:pPr>
              <w:jc w:val="left"/>
              <w:rPr>
                <w:rFonts w:hint="eastAsia"/>
                <w:sz w:val="32"/>
                <w:szCs w:val="32"/>
                <w:vertAlign w:val="baseline"/>
                <w:lang w:eastAsia="zh-CN"/>
              </w:rPr>
            </w:pPr>
          </w:p>
        </w:tc>
      </w:tr>
      <w:tr w14:paraId="2E874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748" w:type="dxa"/>
            <w:vAlign w:val="center"/>
          </w:tcPr>
          <w:p w14:paraId="59990FE5">
            <w:pPr>
              <w:jc w:val="center"/>
              <w:rPr>
                <w:rFonts w:hint="eastAsia"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5</w:t>
            </w:r>
          </w:p>
        </w:tc>
        <w:tc>
          <w:tcPr>
            <w:tcW w:w="2268" w:type="dxa"/>
            <w:vAlign w:val="center"/>
          </w:tcPr>
          <w:p w14:paraId="0916AF0B">
            <w:pPr>
              <w:jc w:val="left"/>
              <w:rPr>
                <w:rFonts w:hint="default" w:ascii="仿宋_GB2312" w:hAnsi="Calibri" w:eastAsia="仿宋_GB2312"/>
                <w:szCs w:val="21"/>
                <w:lang w:val="en-US" w:eastAsia="zh-CN"/>
              </w:rPr>
            </w:pPr>
            <w:r>
              <w:rPr>
                <w:rFonts w:hint="eastAsia" w:ascii="仿宋_GB2312" w:hAnsi="Calibri" w:eastAsia="仿宋_GB2312"/>
                <w:szCs w:val="21"/>
                <w:lang w:val="en-US" w:eastAsia="zh-CN"/>
              </w:rPr>
              <w:t>娱乐场所从业人员在营业期间未统一着装并佩带工作标志</w:t>
            </w:r>
          </w:p>
        </w:tc>
        <w:tc>
          <w:tcPr>
            <w:tcW w:w="6017" w:type="dxa"/>
            <w:vAlign w:val="center"/>
          </w:tcPr>
          <w:p w14:paraId="39A296EF">
            <w:pPr>
              <w:jc w:val="left"/>
              <w:rPr>
                <w:rFonts w:hint="default" w:ascii="仿宋_GB2312" w:hAnsi="Calibri" w:eastAsia="仿宋_GB2312"/>
                <w:szCs w:val="21"/>
                <w:lang w:val="en-US" w:eastAsia="zh-CN"/>
              </w:rPr>
            </w:pPr>
            <w:r>
              <w:rPr>
                <w:rFonts w:hint="eastAsia" w:ascii="仿宋_GB2312" w:hAnsi="Calibri" w:eastAsia="仿宋_GB2312"/>
                <w:szCs w:val="21"/>
                <w:lang w:eastAsia="zh-CN"/>
              </w:rPr>
              <w:t>《</w:t>
            </w:r>
            <w:r>
              <w:rPr>
                <w:rFonts w:hint="eastAsia" w:ascii="仿宋_GB2312" w:hAnsi="Calibri" w:eastAsia="仿宋_GB2312"/>
                <w:szCs w:val="21"/>
                <w:lang w:val="en-US" w:eastAsia="zh-CN"/>
              </w:rPr>
              <w:t>娱乐场所管理条例》第二十七条第一款  营业期间，娱乐场所的从业人员应当统一着工作服，佩带工作标志并携带居民身份证或者外国人就业许可证。</w:t>
            </w:r>
          </w:p>
        </w:tc>
        <w:tc>
          <w:tcPr>
            <w:tcW w:w="1800" w:type="dxa"/>
            <w:vAlign w:val="center"/>
          </w:tcPr>
          <w:p w14:paraId="05584516">
            <w:pPr>
              <w:jc w:val="center"/>
              <w:rPr>
                <w:rFonts w:hint="eastAsia" w:ascii="仿宋_GB2312" w:hAnsi="Calibri" w:eastAsia="仿宋_GB2312" w:cs="Times New Roman"/>
                <w:szCs w:val="21"/>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2F71AA40">
            <w:pPr>
              <w:jc w:val="left"/>
              <w:rPr>
                <w:rFonts w:hint="default" w:ascii="仿宋_GB2312" w:hAnsi="Calibri" w:eastAsia="仿宋_GB2312" w:cs="Times New Roman"/>
                <w:szCs w:val="21"/>
                <w:lang w:val="en-US" w:eastAsia="zh-CN"/>
              </w:rPr>
            </w:pPr>
            <w:r>
              <w:rPr>
                <w:rFonts w:hint="eastAsia" w:ascii="仿宋" w:hAnsi="仿宋" w:eastAsia="仿宋" w:cs="仿宋"/>
                <w:color w:val="000000"/>
                <w:lang w:val="en-US" w:eastAsia="zh-CN"/>
              </w:rPr>
              <w:t>初次违法，危害后果轻微，在执法机关限定期限内改正。</w:t>
            </w:r>
          </w:p>
        </w:tc>
        <w:tc>
          <w:tcPr>
            <w:tcW w:w="1116" w:type="dxa"/>
            <w:vAlign w:val="center"/>
          </w:tcPr>
          <w:p w14:paraId="74505381">
            <w:pPr>
              <w:jc w:val="left"/>
              <w:rPr>
                <w:rFonts w:hint="eastAsia"/>
                <w:sz w:val="32"/>
                <w:szCs w:val="32"/>
                <w:vertAlign w:val="baseline"/>
                <w:lang w:eastAsia="zh-CN"/>
              </w:rPr>
            </w:pPr>
          </w:p>
        </w:tc>
      </w:tr>
      <w:tr w14:paraId="13F4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8" w:type="dxa"/>
            <w:vAlign w:val="center"/>
          </w:tcPr>
          <w:p w14:paraId="53AB3136">
            <w:pPr>
              <w:jc w:val="center"/>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6</w:t>
            </w:r>
          </w:p>
        </w:tc>
        <w:tc>
          <w:tcPr>
            <w:tcW w:w="2268" w:type="dxa"/>
            <w:vAlign w:val="center"/>
          </w:tcPr>
          <w:p w14:paraId="49728C85">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经营性互联网文化单位未在其网站主页的显著位置标明《网络文化经营许可证》编号</w:t>
            </w:r>
          </w:p>
        </w:tc>
        <w:tc>
          <w:tcPr>
            <w:tcW w:w="6017" w:type="dxa"/>
            <w:vAlign w:val="center"/>
          </w:tcPr>
          <w:p w14:paraId="70DBDC49">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 xml:space="preserve">《互联网文化管理暂行规定》第十二条 </w:t>
            </w:r>
            <w:r>
              <w:rPr>
                <w:rFonts w:hint="eastAsia" w:ascii="仿宋_GB2312" w:hAnsi="Calibri" w:eastAsia="仿宋_GB2312" w:cs="Times New Roman"/>
                <w:sz w:val="21"/>
                <w:szCs w:val="21"/>
                <w:lang w:val="en-US" w:eastAsia="zh-CN"/>
              </w:rPr>
              <w:t xml:space="preserve"> </w:t>
            </w:r>
            <w:r>
              <w:rPr>
                <w:rFonts w:ascii="仿宋" w:hAnsi="仿宋" w:eastAsia="仿宋" w:cs="仿宋"/>
                <w:i w:val="0"/>
                <w:iCs w:val="0"/>
                <w:caps w:val="0"/>
                <w:color w:val="333333"/>
                <w:spacing w:val="0"/>
                <w:sz w:val="21"/>
                <w:szCs w:val="21"/>
                <w:shd w:val="clear" w:fill="FFFFFF"/>
              </w:rPr>
              <w:t>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tc>
        <w:tc>
          <w:tcPr>
            <w:tcW w:w="1800" w:type="dxa"/>
            <w:vAlign w:val="center"/>
          </w:tcPr>
          <w:p w14:paraId="5E2D50C7">
            <w:pPr>
              <w:jc w:val="center"/>
              <w:rPr>
                <w:rFonts w:hint="eastAsia" w:ascii="仿宋_GB2312" w:hAnsi="Calibri" w:eastAsia="仿宋_GB2312" w:cs="Times New Roman"/>
                <w:szCs w:val="21"/>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3CCA5701">
            <w:pPr>
              <w:jc w:val="left"/>
              <w:rPr>
                <w:rFonts w:hint="default" w:ascii="仿宋_GB2312" w:hAnsi="Calibri" w:eastAsia="仿宋_GB2312" w:cs="Times New Roman"/>
                <w:szCs w:val="21"/>
                <w:lang w:val="en-US" w:eastAsia="zh-CN"/>
              </w:rPr>
            </w:pPr>
            <w:r>
              <w:rPr>
                <w:rFonts w:hint="eastAsia" w:ascii="仿宋" w:hAnsi="仿宋" w:eastAsia="仿宋" w:cs="仿宋"/>
                <w:color w:val="000000"/>
                <w:lang w:val="en-US" w:eastAsia="zh-CN"/>
              </w:rPr>
              <w:t>初次违法，危害后果轻微，自行及时改正或在执法机关限定期限内改正。</w:t>
            </w:r>
          </w:p>
        </w:tc>
        <w:tc>
          <w:tcPr>
            <w:tcW w:w="1116" w:type="dxa"/>
            <w:vAlign w:val="center"/>
          </w:tcPr>
          <w:p w14:paraId="2010AA6A">
            <w:pPr>
              <w:jc w:val="left"/>
              <w:rPr>
                <w:rFonts w:hint="eastAsia"/>
                <w:sz w:val="32"/>
                <w:szCs w:val="32"/>
                <w:vertAlign w:val="baseline"/>
                <w:lang w:eastAsia="zh-CN"/>
              </w:rPr>
            </w:pPr>
          </w:p>
        </w:tc>
      </w:tr>
      <w:tr w14:paraId="5683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trPr>
        <w:tc>
          <w:tcPr>
            <w:tcW w:w="748" w:type="dxa"/>
            <w:vAlign w:val="center"/>
          </w:tcPr>
          <w:p w14:paraId="7697DBE4">
            <w:pPr>
              <w:jc w:val="center"/>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7</w:t>
            </w:r>
          </w:p>
        </w:tc>
        <w:tc>
          <w:tcPr>
            <w:tcW w:w="2268" w:type="dxa"/>
            <w:vAlign w:val="center"/>
          </w:tcPr>
          <w:p w14:paraId="3BFC899B">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互联网上网服务营业场所经营单位变更名称、注册资本、网络地址或者终止经营活动，未向文化行政部门办理有关手续或者备案</w:t>
            </w:r>
          </w:p>
        </w:tc>
        <w:tc>
          <w:tcPr>
            <w:tcW w:w="6017" w:type="dxa"/>
            <w:vAlign w:val="center"/>
          </w:tcPr>
          <w:p w14:paraId="61E538C5">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《互联网上网服务营业场所管理条例》第十三条第二款  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tc>
        <w:tc>
          <w:tcPr>
            <w:tcW w:w="1800" w:type="dxa"/>
            <w:vAlign w:val="center"/>
          </w:tcPr>
          <w:p w14:paraId="6F3442DE">
            <w:pPr>
              <w:jc w:val="center"/>
              <w:rPr>
                <w:rFonts w:hint="eastAsia" w:ascii="仿宋" w:hAnsi="仿宋" w:eastAsia="仿宋" w:cs="仿宋"/>
                <w:color w:val="000000"/>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3F14C51A">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初次违法，危害后果轻微，立即或在执法机关限定期限内恢复原状，或者在执法机关限定期限内办理有关手续或者备案。</w:t>
            </w:r>
          </w:p>
        </w:tc>
        <w:tc>
          <w:tcPr>
            <w:tcW w:w="1116" w:type="dxa"/>
            <w:vAlign w:val="center"/>
          </w:tcPr>
          <w:p w14:paraId="6CDC4FEE">
            <w:pPr>
              <w:jc w:val="left"/>
              <w:rPr>
                <w:rFonts w:hint="eastAsia"/>
                <w:sz w:val="32"/>
                <w:szCs w:val="32"/>
                <w:vertAlign w:val="baseline"/>
                <w:lang w:eastAsia="zh-CN"/>
              </w:rPr>
            </w:pPr>
          </w:p>
        </w:tc>
      </w:tr>
      <w:tr w14:paraId="2070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48" w:type="dxa"/>
            <w:vAlign w:val="center"/>
          </w:tcPr>
          <w:p w14:paraId="40CD7676">
            <w:pPr>
              <w:jc w:val="center"/>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8</w:t>
            </w:r>
          </w:p>
        </w:tc>
        <w:tc>
          <w:tcPr>
            <w:tcW w:w="2268" w:type="dxa"/>
            <w:vAlign w:val="center"/>
          </w:tcPr>
          <w:p w14:paraId="74EF4795">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互联网上网服务营业场所经营单位建立场内巡查制度但未落实巡查责任</w:t>
            </w:r>
          </w:p>
        </w:tc>
        <w:tc>
          <w:tcPr>
            <w:tcW w:w="6017" w:type="dxa"/>
            <w:vAlign w:val="center"/>
          </w:tcPr>
          <w:p w14:paraId="3641C2A9">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《互联网上网服务营业场所管理条例》第十九条  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tc>
        <w:tc>
          <w:tcPr>
            <w:tcW w:w="1800" w:type="dxa"/>
            <w:vAlign w:val="center"/>
          </w:tcPr>
          <w:p w14:paraId="36F3C18D">
            <w:pPr>
              <w:jc w:val="center"/>
              <w:rPr>
                <w:rFonts w:hint="eastAsia" w:ascii="仿宋" w:hAnsi="仿宋" w:eastAsia="仿宋" w:cs="仿宋"/>
                <w:color w:val="000000"/>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207E848E">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初次违法，危害后果轻微，立即改正或在执法机关限定期限内改正。</w:t>
            </w:r>
          </w:p>
        </w:tc>
        <w:tc>
          <w:tcPr>
            <w:tcW w:w="1116" w:type="dxa"/>
            <w:vAlign w:val="center"/>
          </w:tcPr>
          <w:p w14:paraId="0FA97A5D">
            <w:pPr>
              <w:jc w:val="left"/>
              <w:rPr>
                <w:rFonts w:hint="eastAsia"/>
                <w:sz w:val="32"/>
                <w:szCs w:val="32"/>
                <w:vertAlign w:val="baseline"/>
                <w:lang w:eastAsia="zh-CN"/>
              </w:rPr>
            </w:pPr>
          </w:p>
        </w:tc>
      </w:tr>
      <w:tr w14:paraId="41B1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748" w:type="dxa"/>
            <w:vAlign w:val="center"/>
          </w:tcPr>
          <w:p w14:paraId="4E024EEB">
            <w:pPr>
              <w:jc w:val="center"/>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9</w:t>
            </w:r>
          </w:p>
        </w:tc>
        <w:tc>
          <w:tcPr>
            <w:tcW w:w="2268" w:type="dxa"/>
            <w:vAlign w:val="center"/>
          </w:tcPr>
          <w:p w14:paraId="21F67B88">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经营性互联网文化单位变更经营地址、股权结构以及许可经营范围，未办理变更或者备案手续</w:t>
            </w:r>
          </w:p>
        </w:tc>
        <w:tc>
          <w:tcPr>
            <w:tcW w:w="6017" w:type="dxa"/>
            <w:vAlign w:val="center"/>
          </w:tcPr>
          <w:p w14:paraId="16A09E7B">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《互联网文化管理暂行规定》第十三条第一</w:t>
            </w:r>
            <w:r>
              <w:rPr>
                <w:rFonts w:hint="eastAsia" w:ascii="仿宋_GB2312" w:hAnsi="Calibri" w:eastAsia="仿宋_GB2312" w:cs="Times New Roman"/>
                <w:sz w:val="21"/>
                <w:szCs w:val="21"/>
                <w:lang w:val="en-US" w:eastAsia="zh-CN"/>
              </w:rPr>
              <w:t xml:space="preserve">款  </w:t>
            </w:r>
            <w:r>
              <w:rPr>
                <w:rFonts w:ascii="仿宋" w:hAnsi="仿宋" w:eastAsia="仿宋" w:cs="仿宋"/>
                <w:i w:val="0"/>
                <w:iCs w:val="0"/>
                <w:caps w:val="0"/>
                <w:color w:val="333333"/>
                <w:spacing w:val="0"/>
                <w:sz w:val="21"/>
                <w:szCs w:val="21"/>
                <w:shd w:val="clear" w:fill="FFFFFF"/>
              </w:rPr>
              <w:t>经营性互联网文化单位变更单位名称、域名、法定代表人或者主要负责人、注册地址、经营地址、股权结构以及许可经营范围的，应当自变更之日起20日内到所在地省、自治区、直辖市人民政府文化行政部门办理变更或者备案手续。</w:t>
            </w:r>
          </w:p>
        </w:tc>
        <w:tc>
          <w:tcPr>
            <w:tcW w:w="1800" w:type="dxa"/>
            <w:vAlign w:val="center"/>
          </w:tcPr>
          <w:p w14:paraId="7336EB93">
            <w:pPr>
              <w:jc w:val="center"/>
              <w:rPr>
                <w:rFonts w:hint="eastAsia" w:ascii="仿宋" w:hAnsi="仿宋" w:eastAsia="仿宋" w:cs="仿宋"/>
                <w:color w:val="000000"/>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5B5C6BC5">
            <w:pPr>
              <w:jc w:val="left"/>
              <w:rPr>
                <w:rFonts w:hint="default" w:ascii="仿宋" w:hAnsi="仿宋" w:eastAsia="仿宋" w:cs="仿宋"/>
                <w:color w:val="000000"/>
                <w:lang w:val="en-US" w:eastAsia="zh-CN"/>
              </w:rPr>
            </w:pPr>
            <w:r>
              <w:rPr>
                <w:rFonts w:hint="eastAsia" w:ascii="仿宋" w:hAnsi="仿宋" w:eastAsia="仿宋" w:cs="仿宋"/>
                <w:color w:val="000000"/>
                <w:lang w:val="en-US" w:eastAsia="zh-CN"/>
              </w:rPr>
              <w:t>初次违法，危害后果轻微，立即或在执法机关限定期限内恢复原状，或者在执法机关限定期限内办理变更或者备案手续。</w:t>
            </w:r>
          </w:p>
        </w:tc>
        <w:tc>
          <w:tcPr>
            <w:tcW w:w="1116" w:type="dxa"/>
            <w:vAlign w:val="center"/>
          </w:tcPr>
          <w:p w14:paraId="20E7E887">
            <w:pPr>
              <w:jc w:val="left"/>
              <w:rPr>
                <w:rFonts w:hint="eastAsia"/>
                <w:sz w:val="32"/>
                <w:szCs w:val="32"/>
                <w:vertAlign w:val="baseline"/>
                <w:lang w:eastAsia="zh-CN"/>
              </w:rPr>
            </w:pPr>
          </w:p>
        </w:tc>
      </w:tr>
      <w:tr w14:paraId="45EF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trPr>
        <w:tc>
          <w:tcPr>
            <w:tcW w:w="748" w:type="dxa"/>
            <w:vAlign w:val="center"/>
          </w:tcPr>
          <w:p w14:paraId="1DFFFBEC">
            <w:pPr>
              <w:jc w:val="center"/>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10</w:t>
            </w:r>
          </w:p>
        </w:tc>
        <w:tc>
          <w:tcPr>
            <w:tcW w:w="2268" w:type="dxa"/>
            <w:vAlign w:val="center"/>
          </w:tcPr>
          <w:p w14:paraId="5948B2A0">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旅行社未悬挂旅行社业务经营许可证；旅行社服务网点及其旅行社分社未悬挂营业执照</w:t>
            </w:r>
          </w:p>
        </w:tc>
        <w:tc>
          <w:tcPr>
            <w:tcW w:w="6017" w:type="dxa"/>
            <w:vAlign w:val="center"/>
          </w:tcPr>
          <w:p w14:paraId="5EA6C630">
            <w:pPr>
              <w:jc w:val="left"/>
              <w:rPr>
                <w:rFonts w:hint="default" w:ascii="仿宋_GB2312" w:hAnsi="Calibri" w:eastAsia="仿宋_GB2312" w:cs="Times New Roman"/>
                <w:szCs w:val="21"/>
                <w:lang w:val="en-US" w:eastAsia="zh-CN"/>
              </w:rPr>
            </w:pPr>
            <w:r>
              <w:rPr>
                <w:rFonts w:hint="eastAsia" w:ascii="仿宋_GB2312" w:hAnsi="Calibri" w:eastAsia="仿宋_GB2312" w:cs="Times New Roman"/>
                <w:szCs w:val="21"/>
                <w:lang w:val="en-US" w:eastAsia="zh-CN"/>
              </w:rPr>
              <w:t>《旅行社条例实施细则》第二十六条  旅行社及其分社、服务网点，应当将《旅行社业务经营许可证》、《旅行社分社备案登记证明》或者《旅行社服务网点备案登记证明》，与营业执照一起，悬挂在经营场所的显要位置。</w:t>
            </w:r>
          </w:p>
        </w:tc>
        <w:tc>
          <w:tcPr>
            <w:tcW w:w="1800" w:type="dxa"/>
            <w:vAlign w:val="center"/>
          </w:tcPr>
          <w:p w14:paraId="4481C103">
            <w:pPr>
              <w:jc w:val="center"/>
              <w:rPr>
                <w:rFonts w:hint="eastAsia" w:ascii="仿宋" w:hAnsi="仿宋" w:eastAsia="仿宋" w:cs="仿宋"/>
                <w:color w:val="000000"/>
                <w:lang w:val="en-US" w:eastAsia="zh-CN"/>
              </w:rPr>
            </w:pPr>
            <w:r>
              <w:rPr>
                <w:rFonts w:hint="eastAsia" w:ascii="仿宋" w:hAnsi="仿宋" w:eastAsia="仿宋" w:cs="仿宋"/>
                <w:szCs w:val="21"/>
                <w:lang w:val="en-US" w:eastAsia="zh-CN"/>
              </w:rPr>
              <w:t>科右前旗文化旅游体育局</w:t>
            </w:r>
          </w:p>
        </w:tc>
        <w:tc>
          <w:tcPr>
            <w:tcW w:w="2367" w:type="dxa"/>
            <w:vAlign w:val="center"/>
          </w:tcPr>
          <w:p w14:paraId="4E2D6434">
            <w:pPr>
              <w:jc w:val="left"/>
              <w:rPr>
                <w:rFonts w:hint="eastAsia" w:ascii="仿宋" w:hAnsi="仿宋" w:eastAsia="仿宋" w:cs="仿宋"/>
                <w:color w:val="000000"/>
                <w:lang w:val="en-US" w:eastAsia="zh-CN"/>
              </w:rPr>
            </w:pPr>
            <w:r>
              <w:rPr>
                <w:rFonts w:hint="eastAsia" w:ascii="仿宋" w:hAnsi="仿宋" w:eastAsia="仿宋" w:cs="仿宋"/>
                <w:color w:val="000000"/>
                <w:lang w:val="en-US" w:eastAsia="zh-CN"/>
              </w:rPr>
              <w:t>初次违法，危害后果轻微，立即改正或在执法机关限定期限内改正。</w:t>
            </w:r>
          </w:p>
        </w:tc>
        <w:tc>
          <w:tcPr>
            <w:tcW w:w="1116" w:type="dxa"/>
            <w:vAlign w:val="center"/>
          </w:tcPr>
          <w:p w14:paraId="7D949B55">
            <w:pPr>
              <w:jc w:val="left"/>
              <w:rPr>
                <w:rFonts w:hint="eastAsia"/>
                <w:sz w:val="32"/>
                <w:szCs w:val="32"/>
                <w:vertAlign w:val="baseline"/>
                <w:lang w:eastAsia="zh-CN"/>
              </w:rPr>
            </w:pPr>
          </w:p>
        </w:tc>
      </w:tr>
    </w:tbl>
    <w:p w14:paraId="30886D54">
      <w:pPr>
        <w:jc w:val="left"/>
        <w:rPr>
          <w:rFonts w:hint="eastAsia"/>
          <w:sz w:val="32"/>
          <w:szCs w:val="32"/>
          <w:lang w:eastAsia="zh-CN"/>
        </w:rPr>
      </w:pPr>
    </w:p>
    <w:sectPr>
      <w:footerReference r:id="rId3" w:type="default"/>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619F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C7E95">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EC7E95">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3ZWJlZjIxNzMyOTk0MDU0NWM4NDcwN2ExZWIwY2EifQ=="/>
  </w:docVars>
  <w:rsids>
    <w:rsidRoot w:val="47AC2B9B"/>
    <w:rsid w:val="0519031E"/>
    <w:rsid w:val="076324A0"/>
    <w:rsid w:val="080A67CB"/>
    <w:rsid w:val="09214B42"/>
    <w:rsid w:val="09A16FE6"/>
    <w:rsid w:val="0B0D5B89"/>
    <w:rsid w:val="0C12026C"/>
    <w:rsid w:val="0D4932E2"/>
    <w:rsid w:val="0F4112FD"/>
    <w:rsid w:val="122C5ED8"/>
    <w:rsid w:val="12431488"/>
    <w:rsid w:val="12A10CC7"/>
    <w:rsid w:val="15CC66D9"/>
    <w:rsid w:val="1CA1089D"/>
    <w:rsid w:val="208017F1"/>
    <w:rsid w:val="2ABC26CF"/>
    <w:rsid w:val="2CC678AA"/>
    <w:rsid w:val="2EED10C4"/>
    <w:rsid w:val="2F262A63"/>
    <w:rsid w:val="30AD14ED"/>
    <w:rsid w:val="355E7A15"/>
    <w:rsid w:val="36ED01C2"/>
    <w:rsid w:val="37442090"/>
    <w:rsid w:val="38302024"/>
    <w:rsid w:val="3DE54A5F"/>
    <w:rsid w:val="3F5C6349"/>
    <w:rsid w:val="41E82822"/>
    <w:rsid w:val="431C3236"/>
    <w:rsid w:val="47AC2B9B"/>
    <w:rsid w:val="49F07177"/>
    <w:rsid w:val="52C46C49"/>
    <w:rsid w:val="53577FBD"/>
    <w:rsid w:val="53631DE8"/>
    <w:rsid w:val="578922E2"/>
    <w:rsid w:val="59F6297C"/>
    <w:rsid w:val="5CE528C5"/>
    <w:rsid w:val="5D0223BF"/>
    <w:rsid w:val="5DB855F5"/>
    <w:rsid w:val="633064FB"/>
    <w:rsid w:val="64243C92"/>
    <w:rsid w:val="657A5AC8"/>
    <w:rsid w:val="666D12A3"/>
    <w:rsid w:val="69B908CA"/>
    <w:rsid w:val="6D6F1EE5"/>
    <w:rsid w:val="6E9A3837"/>
    <w:rsid w:val="708F2F10"/>
    <w:rsid w:val="713D49B0"/>
    <w:rsid w:val="78487BCC"/>
    <w:rsid w:val="7A9B5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customStyle="1" w:styleId="8">
    <w:name w:val="font11"/>
    <w:basedOn w:val="6"/>
    <w:qFormat/>
    <w:uiPriority w:val="0"/>
    <w:rPr>
      <w:rFonts w:hint="eastAsia" w:ascii="宋体" w:hAnsi="宋体" w:eastAsia="宋体" w:cs="宋体"/>
      <w:b/>
      <w:color w:val="000000"/>
      <w:sz w:val="18"/>
      <w:szCs w:val="18"/>
      <w:u w:val="none"/>
    </w:rPr>
  </w:style>
  <w:style w:type="character" w:customStyle="1" w:styleId="9">
    <w:name w:val="font01"/>
    <w:basedOn w:val="6"/>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1873</Words>
  <Characters>1887</Characters>
  <Lines>0</Lines>
  <Paragraphs>0</Paragraphs>
  <TotalTime>1</TotalTime>
  <ScaleCrop>false</ScaleCrop>
  <LinksUpToDate>false</LinksUpToDate>
  <CharactersWithSpaces>1938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2020-11-14T01:52:00Z</dcterms:created>
  <dc:creator>Administrator</dc:creator>
  <cp:lastModifiedBy>未定义</cp:lastModifiedBy>
  <dcterms:modified xsi:type="dcterms:W3CDTF">2026-07-20T01:41:44Z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462235089AF44D829DCA8EAB05BFA2FC</vt:lpwstr>
  </property>
  <property fmtid="{D5CDD505-2E9C-101B-9397-08002B2CF9AE}" pid="4" name="KSOTemplateDocerSaveRecord">
    <vt:lpwstr>eyJoZGlkIjoiMDA4ZjVkM2NkYzhkZTg4ZTk0YzI3Mzk5YzllZmZhOWEiLCJ1c2VySWQiOiI0NDE4MTE0MzAifQ==</vt:lpwstr>
  </property>
</Properties>
</file>