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C7" w:rsidRDefault="00EF3BC7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EF3BC7" w:rsidRDefault="00BB325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EF3BC7" w:rsidRDefault="00EF3BC7">
      <w:pPr>
        <w:jc w:val="center"/>
        <w:rPr>
          <w:rFonts w:ascii="方正小标宋简体" w:eastAsia="方正小标宋简体"/>
          <w:sz w:val="44"/>
          <w:szCs w:val="44"/>
        </w:rPr>
      </w:pPr>
    </w:p>
    <w:p w:rsidR="00EF3BC7" w:rsidRDefault="00BB325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年科技“突围”工程储能与新型电力系统领域成果转化类“揭榜挂帅”技术榜单</w:t>
      </w:r>
    </w:p>
    <w:p w:rsidR="00EF3BC7" w:rsidRDefault="00EF3BC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F3BC7" w:rsidRDefault="00BB3253">
      <w:pPr>
        <w:spacing w:line="360" w:lineRule="auto"/>
        <w:ind w:firstLine="48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/>
          <w:bCs/>
          <w:sz w:val="32"/>
          <w:szCs w:val="32"/>
        </w:rPr>
        <w:t>一</w:t>
      </w:r>
      <w:r>
        <w:rPr>
          <w:rFonts w:ascii="黑体" w:eastAsia="黑体" w:hAnsi="黑体" w:cs="Times New Roman" w:hint="eastAsia"/>
          <w:bCs/>
          <w:sz w:val="32"/>
          <w:szCs w:val="32"/>
        </w:rPr>
        <w:t>、高安全长寿命大容量</w:t>
      </w:r>
      <w:proofErr w:type="gramStart"/>
      <w:r>
        <w:rPr>
          <w:rFonts w:ascii="黑体" w:eastAsia="黑体" w:hAnsi="黑体" w:cs="Times New Roman" w:hint="eastAsia"/>
          <w:bCs/>
          <w:sz w:val="32"/>
          <w:szCs w:val="32"/>
        </w:rPr>
        <w:t>混合固液储能</w:t>
      </w:r>
      <w:proofErr w:type="gramEnd"/>
      <w:r>
        <w:rPr>
          <w:rFonts w:ascii="黑体" w:eastAsia="黑体" w:hAnsi="黑体" w:cs="Times New Roman" w:hint="eastAsia"/>
          <w:bCs/>
          <w:sz w:val="32"/>
          <w:szCs w:val="32"/>
        </w:rPr>
        <w:t>电池及系统技术</w:t>
      </w:r>
    </w:p>
    <w:p w:rsidR="00EF3BC7" w:rsidRDefault="00BB3253">
      <w:pPr>
        <w:spacing w:line="360" w:lineRule="auto"/>
        <w:ind w:firstLineChars="200" w:firstLine="643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Times New Roman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项目背景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固态电池技术包括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混合固液电池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技术和全固态电池技术。全固态电池使用不可燃、无腐蚀、不挥发的固体电解质完全替代电解液和隔膜，可避免传统液态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锂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离子电池中可燃电解液使用；固态电解质的电化学稳定性、热稳定性优于传统电解液，同时其优良的绝缘性可较好的将电池正负极阻隔，降低正负极短路发生概率，因此全固态电池可以大大降低热失控发生概率，显著提高安全性。但目前由于全固态电池成本极高、制造工艺和设备不成熟、使用条件苛刻，短期内难以实现商业化应用，目前在世界范围内仍处于开发和验证阶段；而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混合固液电池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使用固态电解质部分取代传统的电</w:t>
      </w:r>
      <w:r>
        <w:rPr>
          <w:rFonts w:ascii="仿宋_GB2312" w:eastAsia="仿宋_GB2312" w:hAnsi="仿宋_GB2312" w:cs="Times New Roman" w:hint="eastAsia"/>
          <w:sz w:val="32"/>
          <w:szCs w:val="32"/>
        </w:rPr>
        <w:t>解液，在兼容现有工艺的前提下可以较大程度地提升电池的安全性，同时兼容优良的电性能，被认为是液态电池向全固态电池转变的重要过渡。为适应更大规模应用场景，同时兼顾成本与安全，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混合固液储能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电池系统</w:t>
      </w:r>
      <w:r>
        <w:rPr>
          <w:rFonts w:ascii="仿宋_GB2312" w:eastAsia="仿宋_GB2312" w:hAnsi="仿宋_GB2312" w:cs="Times New Roman" w:hint="eastAsia"/>
          <w:sz w:val="32"/>
          <w:szCs w:val="32"/>
        </w:rPr>
        <w:lastRenderedPageBreak/>
        <w:t>的大规模商业化将为储能行业的进一步发展提供重要机遇。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近两年发展最快的储能使用场景是工商业储能，工商业储能的场景属于人员资产密集的使用区，一旦发生安全事故，影响巨大，对整个行业的发展也会带来极大阻碍。因此，工商业储能作为用户侧储能的重要使用场景，相比于传统储能电站，对设备的安全性能提出了更高的要求，传统的液态储能电池安全</w:t>
      </w:r>
      <w:r>
        <w:rPr>
          <w:rFonts w:ascii="仿宋_GB2312" w:eastAsia="仿宋_GB2312" w:hAnsi="仿宋_GB2312" w:cs="Times New Roman" w:hint="eastAsia"/>
          <w:sz w:val="32"/>
          <w:szCs w:val="32"/>
        </w:rPr>
        <w:t>性已不能满足市场发展的需求。本项目拟选择工商业储能领域作为落地场景，有助于为市场和客户提供更好更安全的储能解决方案，促进行业健康可持续发展。</w:t>
      </w:r>
    </w:p>
    <w:p w:rsidR="00EF3BC7" w:rsidRDefault="00BB3253">
      <w:pPr>
        <w:spacing w:line="360" w:lineRule="auto"/>
        <w:ind w:firstLineChars="200" w:firstLine="643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Times New Roman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研究内容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本项目布局高安全、成本可控的</w:t>
      </w:r>
      <w:r>
        <w:rPr>
          <w:rFonts w:ascii="仿宋_GB2312" w:eastAsia="仿宋_GB2312" w:hAnsi="仿宋_GB2312" w:cs="Times New Roman" w:hint="eastAsia"/>
          <w:sz w:val="32"/>
          <w:szCs w:val="32"/>
        </w:rPr>
        <w:t>280Ah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混合固液储能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电芯，实现工商业固态电池储能系统试运行。采用自主开发的固态电解质技术、离子导体涂层技术，结合独特固态电池制备工艺和方法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实现长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循环和本质安全固态电池设计与开发。关键突破技术包括：高电导率固态电解质材料的开发及规模量产，高稳定纳米固态电解质浆料制备及量产技术，功能性离子导体膜技术，高安全原位固态化量产技术，其中需要重点攻关电解液配方优化技术，界面浸润技术以及均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性表征技术。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围绕关键突破技术，本项目主要研究内容包括新型超细纳米固态电解质制备，固态锂电池电化学体系</w:t>
      </w:r>
      <w:r>
        <w:rPr>
          <w:rFonts w:ascii="仿宋_GB2312" w:eastAsia="仿宋_GB2312" w:hAnsi="仿宋_GB2312" w:cs="Times New Roman" w:hint="eastAsia"/>
          <w:sz w:val="32"/>
          <w:szCs w:val="32"/>
        </w:rPr>
        <w:t>构建及电芯设计，离子导体膜制备技术，高强度无机</w:t>
      </w:r>
      <w:r>
        <w:rPr>
          <w:rFonts w:ascii="仿宋_GB2312" w:eastAsia="仿宋_GB2312" w:hAnsi="仿宋_GB2312" w:cs="Times New Roman" w:hint="eastAsia"/>
          <w:sz w:val="32"/>
          <w:szCs w:val="32"/>
        </w:rPr>
        <w:t>-</w:t>
      </w:r>
      <w:r>
        <w:rPr>
          <w:rFonts w:ascii="仿宋_GB2312" w:eastAsia="仿宋_GB2312" w:hAnsi="仿宋_GB2312" w:cs="Times New Roman" w:hint="eastAsia"/>
          <w:sz w:val="32"/>
          <w:szCs w:val="32"/>
        </w:rPr>
        <w:t>聚合物复合固体电解质制备技术，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混合固液电池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电化学性能失效分析与安全性机理，以</w:t>
      </w:r>
      <w:r>
        <w:rPr>
          <w:rFonts w:ascii="仿宋_GB2312" w:eastAsia="仿宋_GB2312" w:hAnsi="仿宋_GB2312" w:cs="Times New Roman" w:hint="eastAsia"/>
          <w:sz w:val="32"/>
          <w:szCs w:val="32"/>
        </w:rPr>
        <w:lastRenderedPageBreak/>
        <w:t>及高安全工商业储能系统等。</w:t>
      </w:r>
    </w:p>
    <w:p w:rsidR="00EF3BC7" w:rsidRDefault="00BB3253">
      <w:pPr>
        <w:spacing w:line="360" w:lineRule="auto"/>
        <w:ind w:firstLineChars="200" w:firstLine="643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考核指标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：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（</w:t>
      </w:r>
      <w:r>
        <w:rPr>
          <w:rFonts w:ascii="仿宋_GB2312" w:eastAsia="仿宋_GB2312" w:hAnsi="仿宋_GB2312" w:cs="Times New Roman"/>
          <w:sz w:val="32"/>
          <w:szCs w:val="32"/>
        </w:rPr>
        <w:t>1</w:t>
      </w:r>
      <w:r>
        <w:rPr>
          <w:rFonts w:ascii="仿宋_GB2312" w:eastAsia="仿宋_GB2312" w:hAnsi="仿宋_GB2312" w:cs="Times New Roman"/>
          <w:sz w:val="32"/>
          <w:szCs w:val="32"/>
        </w:rPr>
        <w:t>）混合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固液电池电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性能指标为：单体容量</w:t>
      </w:r>
      <w:r>
        <w:rPr>
          <w:rFonts w:ascii="仿宋_GB2312" w:eastAsia="仿宋_GB2312" w:hAnsi="仿宋_GB2312" w:cs="Times New Roman"/>
          <w:sz w:val="32"/>
          <w:szCs w:val="32"/>
        </w:rPr>
        <w:t>≥280Ah</w:t>
      </w:r>
      <w:r>
        <w:rPr>
          <w:rFonts w:ascii="仿宋_GB2312" w:eastAsia="仿宋_GB2312" w:hAnsi="仿宋_GB2312" w:cs="Times New Roman"/>
          <w:sz w:val="32"/>
          <w:szCs w:val="32"/>
        </w:rPr>
        <w:t>，能量效率</w:t>
      </w:r>
      <w:r>
        <w:rPr>
          <w:rFonts w:ascii="仿宋_GB2312" w:eastAsia="仿宋_GB2312" w:hAnsi="仿宋_GB2312" w:cs="Times New Roman"/>
          <w:sz w:val="32"/>
          <w:szCs w:val="32"/>
        </w:rPr>
        <w:t>≥94%</w:t>
      </w:r>
      <w:r>
        <w:rPr>
          <w:rFonts w:ascii="仿宋_GB2312" w:eastAsia="仿宋_GB2312" w:hAnsi="仿宋_GB2312" w:cs="Times New Roman"/>
          <w:sz w:val="32"/>
          <w:szCs w:val="32"/>
        </w:rPr>
        <w:t>，内阻</w:t>
      </w:r>
      <w:r>
        <w:rPr>
          <w:rFonts w:ascii="仿宋_GB2312" w:eastAsia="仿宋_GB2312" w:hAnsi="仿宋_GB2312" w:cs="Times New Roman"/>
          <w:sz w:val="32"/>
          <w:szCs w:val="32"/>
        </w:rPr>
        <w:t>≤</w:t>
      </w:r>
      <w:r>
        <w:rPr>
          <w:rFonts w:ascii="仿宋_GB2312" w:eastAsia="仿宋_GB2312" w:hAnsi="仿宋_GB2312" w:cs="Times New Roman" w:hint="eastAsia"/>
          <w:sz w:val="32"/>
          <w:szCs w:val="32"/>
        </w:rPr>
        <w:t>0.25</w:t>
      </w:r>
      <w:r>
        <w:rPr>
          <w:rFonts w:ascii="仿宋_GB2312" w:eastAsia="仿宋_GB2312" w:hAnsi="仿宋_GB2312" w:cs="Times New Roman"/>
          <w:sz w:val="32"/>
          <w:szCs w:val="32"/>
        </w:rPr>
        <w:t>mΩ</w:t>
      </w:r>
      <w:r>
        <w:rPr>
          <w:rFonts w:ascii="仿宋_GB2312" w:eastAsia="仿宋_GB2312" w:hAnsi="仿宋_GB2312" w:cs="Times New Roman"/>
          <w:sz w:val="32"/>
          <w:szCs w:val="32"/>
        </w:rPr>
        <w:t>，循环寿命</w:t>
      </w:r>
      <w:r>
        <w:rPr>
          <w:rFonts w:ascii="仿宋_GB2312" w:eastAsia="仿宋_GB2312" w:hAnsi="仿宋_GB2312" w:cs="Times New Roman"/>
          <w:sz w:val="32"/>
          <w:szCs w:val="32"/>
        </w:rPr>
        <w:t>6000</w:t>
      </w:r>
      <w:r>
        <w:rPr>
          <w:rFonts w:ascii="仿宋_GB2312" w:eastAsia="仿宋_GB2312" w:hAnsi="仿宋_GB2312" w:cs="Times New Roman"/>
          <w:sz w:val="32"/>
          <w:szCs w:val="32"/>
        </w:rPr>
        <w:t>次</w:t>
      </w:r>
      <w:r>
        <w:rPr>
          <w:rFonts w:ascii="仿宋_GB2312" w:eastAsia="仿宋_GB2312" w:hAnsi="仿宋_GB2312" w:cs="Times New Roman" w:hint="eastAsia"/>
          <w:sz w:val="32"/>
          <w:szCs w:val="32"/>
        </w:rPr>
        <w:t>（</w:t>
      </w:r>
      <w:r>
        <w:rPr>
          <w:rFonts w:ascii="仿宋_GB2312" w:eastAsia="仿宋_GB2312" w:hAnsi="仿宋_GB2312" w:cs="Times New Roman"/>
          <w:sz w:val="32"/>
          <w:szCs w:val="32"/>
        </w:rPr>
        <w:t>≥80%SOH</w:t>
      </w:r>
      <w:r>
        <w:rPr>
          <w:rFonts w:ascii="仿宋_GB2312" w:eastAsia="仿宋_GB2312" w:hAnsi="仿宋_GB2312" w:cs="Times New Roman" w:hint="eastAsia"/>
          <w:sz w:val="32"/>
          <w:szCs w:val="32"/>
        </w:rPr>
        <w:t>）</w:t>
      </w:r>
      <w:r>
        <w:rPr>
          <w:rFonts w:ascii="仿宋_GB2312" w:eastAsia="仿宋_GB2312" w:hAnsi="仿宋_GB2312" w:cs="Times New Roman"/>
          <w:sz w:val="32"/>
          <w:szCs w:val="32"/>
        </w:rPr>
        <w:t>。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（</w:t>
      </w:r>
      <w:r>
        <w:rPr>
          <w:rFonts w:ascii="仿宋_GB2312" w:eastAsia="仿宋_GB2312" w:hAnsi="仿宋_GB2312" w:cs="Times New Roman"/>
          <w:sz w:val="32"/>
          <w:szCs w:val="32"/>
        </w:rPr>
        <w:t>2</w:t>
      </w:r>
      <w:r>
        <w:rPr>
          <w:rFonts w:ascii="仿宋_GB2312" w:eastAsia="仿宋_GB2312" w:hAnsi="仿宋_GB2312" w:cs="Times New Roman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混合固液电池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安全性能指标：单体针刺、短路、热箱、挤压、跌落等安全测试不冒烟、不起火、不爆炸；单体热失控测试触发温度高于</w:t>
      </w:r>
      <w:r>
        <w:rPr>
          <w:rFonts w:ascii="仿宋_GB2312" w:eastAsia="仿宋_GB2312" w:hAnsi="仿宋_GB2312" w:cs="Times New Roman"/>
          <w:sz w:val="32"/>
          <w:szCs w:val="32"/>
        </w:rPr>
        <w:t>110℃</w:t>
      </w:r>
      <w:r>
        <w:rPr>
          <w:rFonts w:ascii="仿宋_GB2312" w:eastAsia="仿宋_GB2312" w:hAnsi="仿宋_GB2312" w:cs="Times New Roman" w:hint="eastAsia"/>
          <w:sz w:val="32"/>
          <w:szCs w:val="32"/>
        </w:rPr>
        <w:t>，</w:t>
      </w:r>
      <w:r>
        <w:rPr>
          <w:rFonts w:ascii="仿宋_GB2312" w:eastAsia="仿宋_GB2312" w:hAnsi="仿宋_GB2312" w:cs="Times New Roman"/>
          <w:sz w:val="32"/>
          <w:szCs w:val="32"/>
        </w:rPr>
        <w:t>热失控后不起火、不爆炸；模组通过</w:t>
      </w:r>
      <w:r>
        <w:rPr>
          <w:rFonts w:ascii="仿宋_GB2312" w:eastAsia="仿宋_GB2312" w:hAnsi="仿宋_GB2312" w:cs="Times New Roman"/>
          <w:sz w:val="32"/>
          <w:szCs w:val="32"/>
        </w:rPr>
        <w:t>1C</w:t>
      </w:r>
      <w:r>
        <w:rPr>
          <w:rFonts w:ascii="仿宋_GB2312" w:eastAsia="仿宋_GB2312" w:hAnsi="仿宋_GB2312" w:cs="Times New Roman"/>
          <w:sz w:val="32"/>
          <w:szCs w:val="32"/>
        </w:rPr>
        <w:t>过充测试，不冒烟、不起火、不爆炸；模组通过热失</w:t>
      </w:r>
      <w:r>
        <w:rPr>
          <w:rFonts w:ascii="仿宋_GB2312" w:eastAsia="仿宋_GB2312" w:hAnsi="仿宋_GB2312" w:cs="Times New Roman"/>
          <w:sz w:val="32"/>
          <w:szCs w:val="32"/>
        </w:rPr>
        <w:t>控扩散测试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电芯不起火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、不爆炸、不发生热失控扩散。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（</w:t>
      </w:r>
      <w:r>
        <w:rPr>
          <w:rFonts w:ascii="仿宋_GB2312" w:eastAsia="仿宋_GB2312" w:hAnsi="仿宋_GB2312" w:cs="Times New Roman"/>
          <w:sz w:val="32"/>
          <w:szCs w:val="32"/>
        </w:rPr>
        <w:t>3</w:t>
      </w:r>
      <w:r>
        <w:rPr>
          <w:rFonts w:ascii="仿宋_GB2312" w:eastAsia="仿宋_GB2312" w:hAnsi="仿宋_GB2312" w:cs="Times New Roman"/>
          <w:sz w:val="32"/>
          <w:szCs w:val="32"/>
        </w:rPr>
        <w:t>）系统指标：系统循环次数</w:t>
      </w:r>
      <w:r>
        <w:rPr>
          <w:rFonts w:ascii="仿宋_GB2312" w:eastAsia="仿宋_GB2312" w:hAnsi="仿宋_GB2312" w:cs="Times New Roman"/>
          <w:sz w:val="32"/>
          <w:szCs w:val="32"/>
        </w:rPr>
        <w:t>≥</w:t>
      </w:r>
      <w:r>
        <w:rPr>
          <w:rFonts w:ascii="仿宋_GB2312" w:eastAsia="仿宋_GB2312" w:hAnsi="仿宋_GB2312" w:cs="Times New Roman" w:hint="eastAsia"/>
          <w:sz w:val="32"/>
          <w:szCs w:val="32"/>
        </w:rPr>
        <w:t>5</w:t>
      </w:r>
      <w:r>
        <w:rPr>
          <w:rFonts w:ascii="仿宋_GB2312" w:eastAsia="仿宋_GB2312" w:hAnsi="仿宋_GB2312" w:cs="Times New Roman"/>
          <w:sz w:val="32"/>
          <w:szCs w:val="32"/>
        </w:rPr>
        <w:t>000</w:t>
      </w:r>
      <w:r>
        <w:rPr>
          <w:rFonts w:ascii="仿宋_GB2312" w:eastAsia="仿宋_GB2312" w:hAnsi="仿宋_GB2312" w:cs="Times New Roman"/>
          <w:sz w:val="32"/>
          <w:szCs w:val="32"/>
        </w:rPr>
        <w:t>次，整体系统参数温差控制在</w:t>
      </w:r>
      <w:r>
        <w:rPr>
          <w:rFonts w:ascii="仿宋_GB2312" w:eastAsia="仿宋_GB2312" w:hAnsi="仿宋_GB2312" w:cs="Times New Roman"/>
          <w:sz w:val="32"/>
          <w:szCs w:val="32"/>
        </w:rPr>
        <w:t>5</w:t>
      </w:r>
      <w:r>
        <w:rPr>
          <w:rFonts w:ascii="仿宋_GB2312" w:eastAsia="仿宋_GB2312" w:hAnsi="仿宋_GB2312" w:cs="Times New Roman" w:hint="eastAsia"/>
          <w:sz w:val="32"/>
          <w:szCs w:val="32"/>
        </w:rPr>
        <w:t>℃</w:t>
      </w:r>
      <w:r>
        <w:rPr>
          <w:rFonts w:ascii="仿宋_GB2312" w:eastAsia="仿宋_GB2312" w:hAnsi="仿宋_GB2312" w:cs="Times New Roman"/>
          <w:sz w:val="32"/>
          <w:szCs w:val="32"/>
        </w:rPr>
        <w:t>以内，直流侧的效率</w:t>
      </w:r>
      <w:r>
        <w:rPr>
          <w:rFonts w:ascii="仿宋_GB2312" w:eastAsia="仿宋_GB2312" w:hAnsi="仿宋_GB2312" w:cs="Times New Roman" w:hint="eastAsia"/>
          <w:sz w:val="32"/>
          <w:szCs w:val="32"/>
        </w:rPr>
        <w:t>≥</w:t>
      </w:r>
      <w:r>
        <w:rPr>
          <w:rFonts w:ascii="仿宋_GB2312" w:eastAsia="仿宋_GB2312" w:hAnsi="仿宋_GB2312" w:cs="Times New Roman"/>
          <w:sz w:val="32"/>
          <w:szCs w:val="32"/>
        </w:rPr>
        <w:t>95%</w:t>
      </w:r>
      <w:r>
        <w:rPr>
          <w:rFonts w:ascii="仿宋_GB2312" w:eastAsia="仿宋_GB2312" w:hAnsi="仿宋_GB2312" w:cs="Times New Roman"/>
          <w:sz w:val="32"/>
          <w:szCs w:val="32"/>
        </w:rPr>
        <w:t>。系统的整体防护等级达到</w:t>
      </w:r>
      <w:r>
        <w:rPr>
          <w:rFonts w:ascii="仿宋_GB2312" w:eastAsia="仿宋_GB2312" w:hAnsi="仿宋_GB2312" w:cs="Times New Roman"/>
          <w:sz w:val="32"/>
          <w:szCs w:val="32"/>
        </w:rPr>
        <w:t>IP55</w:t>
      </w:r>
      <w:r>
        <w:rPr>
          <w:rFonts w:ascii="仿宋_GB2312" w:eastAsia="仿宋_GB2312" w:hAnsi="仿宋_GB2312" w:cs="Times New Roman"/>
          <w:sz w:val="32"/>
          <w:szCs w:val="32"/>
        </w:rPr>
        <w:t>以上，系统绝缘耐压性能电压指标</w:t>
      </w:r>
      <w:r>
        <w:rPr>
          <w:rFonts w:ascii="仿宋_GB2312" w:eastAsia="仿宋_GB2312" w:hAnsi="仿宋_GB2312" w:cs="Times New Roman"/>
          <w:sz w:val="32"/>
          <w:szCs w:val="32"/>
        </w:rPr>
        <w:t>AC2400V</w:t>
      </w:r>
      <w:r>
        <w:rPr>
          <w:rFonts w:ascii="仿宋_GB2312" w:eastAsia="仿宋_GB2312" w:hAnsi="仿宋_GB2312" w:cs="Times New Roman"/>
          <w:sz w:val="32"/>
          <w:szCs w:val="32"/>
        </w:rPr>
        <w:t>。</w:t>
      </w:r>
    </w:p>
    <w:p w:rsidR="00EF3BC7" w:rsidRDefault="00BB3253">
      <w:pPr>
        <w:spacing w:line="360" w:lineRule="auto"/>
        <w:ind w:firstLineChars="200" w:firstLine="643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Times New Roman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Times New Roman"/>
          <w:b/>
          <w:bCs/>
          <w:sz w:val="32"/>
          <w:szCs w:val="32"/>
        </w:rPr>
        <w:t>研发团队</w:t>
      </w: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>及资金需求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该项目关键技术来源</w:t>
      </w:r>
      <w:r>
        <w:rPr>
          <w:rFonts w:ascii="仿宋_GB2312" w:eastAsia="仿宋_GB2312" w:hAnsi="仿宋_GB2312" w:cs="Times New Roman"/>
          <w:sz w:val="32"/>
          <w:szCs w:val="32"/>
        </w:rPr>
        <w:t>于</w:t>
      </w:r>
      <w:r>
        <w:rPr>
          <w:rFonts w:ascii="仿宋_GB2312" w:eastAsia="仿宋_GB2312" w:hAnsi="仿宋_GB2312" w:cs="Times New Roman" w:hint="eastAsia"/>
          <w:sz w:val="32"/>
          <w:szCs w:val="32"/>
        </w:rPr>
        <w:t>北京卫蓝新能科技股份有限公司（简称北京卫蓝）、中国科学院物理研究所等</w:t>
      </w:r>
      <w:r>
        <w:rPr>
          <w:rFonts w:ascii="仿宋_GB2312" w:eastAsia="仿宋_GB2312" w:hAnsi="仿宋_GB2312" w:cs="Times New Roman"/>
          <w:sz w:val="32"/>
          <w:szCs w:val="32"/>
        </w:rPr>
        <w:t>国内创新团队</w:t>
      </w:r>
      <w:r>
        <w:rPr>
          <w:rFonts w:ascii="仿宋_GB2312" w:eastAsia="仿宋_GB2312" w:hAnsi="仿宋_GB2312" w:cs="Times New Roman" w:hint="eastAsia"/>
          <w:sz w:val="32"/>
          <w:szCs w:val="32"/>
        </w:rPr>
        <w:t>。北京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卫蓝主要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负责固态电池关键材料开发、电池制备工艺及储能系统开发；</w:t>
      </w:r>
      <w:bookmarkStart w:id="0" w:name="_GoBack"/>
      <w:r>
        <w:rPr>
          <w:rFonts w:ascii="仿宋_GB2312" w:eastAsia="仿宋_GB2312" w:hAnsi="仿宋_GB2312" w:cs="Times New Roman" w:hint="eastAsia"/>
          <w:sz w:val="32"/>
          <w:szCs w:val="32"/>
        </w:rPr>
        <w:t>中国科学院</w:t>
      </w:r>
      <w:bookmarkEnd w:id="0"/>
      <w:r>
        <w:rPr>
          <w:rFonts w:ascii="仿宋_GB2312" w:eastAsia="仿宋_GB2312" w:hAnsi="仿宋_GB2312" w:cs="Times New Roman" w:hint="eastAsia"/>
          <w:sz w:val="32"/>
          <w:szCs w:val="32"/>
        </w:rPr>
        <w:t>物理所主要承担材料性能测试、电池电化学性能失效分析，包括界面表征和安全性相关机理分析；需要</w:t>
      </w:r>
      <w:r>
        <w:rPr>
          <w:rFonts w:ascii="仿宋_GB2312" w:eastAsia="仿宋_GB2312" w:hAnsi="仿宋_GB2312" w:cs="Times New Roman"/>
          <w:sz w:val="32"/>
          <w:szCs w:val="32"/>
        </w:rPr>
        <w:t>内蒙古境内符合转化条件的企业与技术供给方组成创新联合体，开展</w:t>
      </w:r>
      <w:r>
        <w:rPr>
          <w:rFonts w:ascii="仿宋_GB2312" w:eastAsia="仿宋_GB2312" w:hAnsi="仿宋_GB2312" w:cs="Times New Roman" w:hint="eastAsia"/>
          <w:sz w:val="32"/>
          <w:szCs w:val="32"/>
        </w:rPr>
        <w:t>关键技术示范</w:t>
      </w:r>
      <w:r>
        <w:rPr>
          <w:rFonts w:ascii="仿宋_GB2312" w:eastAsia="仿宋_GB2312" w:hAnsi="仿宋_GB2312" w:cs="Times New Roman"/>
          <w:sz w:val="32"/>
          <w:szCs w:val="32"/>
        </w:rPr>
        <w:t>与成果转化</w:t>
      </w:r>
      <w:r>
        <w:rPr>
          <w:rFonts w:ascii="仿宋_GB2312" w:eastAsia="仿宋_GB2312" w:hAnsi="仿宋_GB2312" w:cs="Times New Roman" w:hint="eastAsia"/>
          <w:sz w:val="32"/>
          <w:szCs w:val="32"/>
        </w:rPr>
        <w:t>、</w:t>
      </w:r>
      <w:r>
        <w:rPr>
          <w:rFonts w:ascii="仿宋_GB2312" w:eastAsia="仿宋_GB2312" w:hAnsi="仿宋_GB2312" w:cs="Times New Roman"/>
          <w:sz w:val="32"/>
          <w:szCs w:val="32"/>
        </w:rPr>
        <w:t>产业落地</w:t>
      </w:r>
      <w:r>
        <w:rPr>
          <w:rFonts w:ascii="仿宋_GB2312" w:eastAsia="仿宋_GB2312" w:hAnsi="仿宋_GB2312" w:cs="Times New Roman" w:hint="eastAsia"/>
          <w:sz w:val="32"/>
          <w:szCs w:val="32"/>
        </w:rPr>
        <w:t>。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按照项目</w:t>
      </w:r>
      <w:r>
        <w:rPr>
          <w:rFonts w:ascii="仿宋_GB2312" w:eastAsia="仿宋_GB2312" w:hAnsi="仿宋_GB2312" w:cs="Times New Roman"/>
          <w:sz w:val="32"/>
          <w:szCs w:val="32"/>
        </w:rPr>
        <w:t>总</w:t>
      </w:r>
      <w:r>
        <w:rPr>
          <w:rFonts w:ascii="仿宋_GB2312" w:eastAsia="仿宋_GB2312" w:hAnsi="仿宋_GB2312" w:cs="Times New Roman" w:hint="eastAsia"/>
          <w:sz w:val="32"/>
          <w:szCs w:val="32"/>
        </w:rPr>
        <w:t>体</w:t>
      </w:r>
      <w:r>
        <w:rPr>
          <w:rFonts w:ascii="仿宋_GB2312" w:eastAsia="仿宋_GB2312" w:hAnsi="仿宋_GB2312" w:cs="Times New Roman"/>
          <w:sz w:val="32"/>
          <w:szCs w:val="32"/>
        </w:rPr>
        <w:t>规模，</w:t>
      </w:r>
      <w:r>
        <w:rPr>
          <w:rFonts w:ascii="仿宋_GB2312" w:eastAsia="仿宋_GB2312" w:hAnsi="仿宋_GB2312" w:cs="Times New Roman" w:hint="eastAsia"/>
          <w:sz w:val="32"/>
          <w:szCs w:val="32"/>
        </w:rPr>
        <w:t>自治区</w:t>
      </w:r>
      <w:r>
        <w:rPr>
          <w:rFonts w:ascii="仿宋_GB2312" w:eastAsia="仿宋_GB2312" w:hAnsi="仿宋_GB2312" w:cs="Times New Roman"/>
          <w:sz w:val="32"/>
          <w:szCs w:val="32"/>
        </w:rPr>
        <w:t>预计专项资金</w:t>
      </w:r>
      <w:r>
        <w:rPr>
          <w:rFonts w:ascii="仿宋_GB2312" w:eastAsia="仿宋_GB2312" w:hAnsi="仿宋_GB2312" w:cs="Times New Roman" w:hint="eastAsia"/>
          <w:sz w:val="32"/>
          <w:szCs w:val="32"/>
        </w:rPr>
        <w:t>投入</w:t>
      </w:r>
      <w:r>
        <w:rPr>
          <w:rFonts w:ascii="仿宋_GB2312" w:eastAsia="仿宋_GB2312" w:hAnsi="仿宋_GB2312" w:cs="Times New Roman" w:hint="eastAsia"/>
          <w:sz w:val="32"/>
          <w:szCs w:val="32"/>
        </w:rPr>
        <w:t>2</w:t>
      </w:r>
      <w:r>
        <w:rPr>
          <w:rFonts w:ascii="仿宋_GB2312" w:eastAsia="仿宋_GB2312" w:hAnsi="仿宋_GB2312" w:cs="Times New Roman"/>
          <w:sz w:val="32"/>
          <w:szCs w:val="32"/>
        </w:rPr>
        <w:t>000</w:t>
      </w:r>
      <w:r>
        <w:rPr>
          <w:rFonts w:ascii="仿宋_GB2312" w:eastAsia="仿宋_GB2312" w:hAnsi="仿宋_GB2312" w:cs="Times New Roman"/>
          <w:sz w:val="32"/>
          <w:szCs w:val="32"/>
        </w:rPr>
        <w:t>万元，</w:t>
      </w:r>
      <w:r>
        <w:rPr>
          <w:rFonts w:ascii="仿宋_GB2312" w:eastAsia="仿宋_GB2312" w:hAnsi="仿宋_GB2312" w:cs="Times New Roman" w:hint="eastAsia"/>
          <w:sz w:val="32"/>
          <w:szCs w:val="32"/>
        </w:rPr>
        <w:t>需要</w:t>
      </w:r>
      <w:r>
        <w:rPr>
          <w:rFonts w:ascii="仿宋_GB2312" w:eastAsia="仿宋_GB2312" w:hAnsi="仿宋_GB2312" w:cs="Times New Roman"/>
          <w:sz w:val="32"/>
          <w:szCs w:val="32"/>
        </w:rPr>
        <w:t>企业自筹</w:t>
      </w:r>
      <w:r>
        <w:rPr>
          <w:rFonts w:ascii="仿宋_GB2312" w:eastAsia="仿宋_GB2312" w:hAnsi="仿宋_GB2312" w:cs="Times New Roman" w:hint="eastAsia"/>
          <w:sz w:val="32"/>
          <w:szCs w:val="32"/>
        </w:rPr>
        <w:t>不低于</w:t>
      </w:r>
      <w:r>
        <w:rPr>
          <w:rFonts w:ascii="仿宋_GB2312" w:eastAsia="仿宋_GB2312" w:hAnsi="仿宋_GB2312" w:cs="Times New Roman" w:hint="eastAsia"/>
          <w:sz w:val="32"/>
          <w:szCs w:val="32"/>
        </w:rPr>
        <w:t>4</w:t>
      </w:r>
      <w:r>
        <w:rPr>
          <w:rFonts w:ascii="仿宋_GB2312" w:eastAsia="仿宋_GB2312" w:hAnsi="仿宋_GB2312" w:cs="Times New Roman"/>
          <w:sz w:val="32"/>
          <w:szCs w:val="32"/>
        </w:rPr>
        <w:t>000</w:t>
      </w:r>
      <w:r>
        <w:rPr>
          <w:rFonts w:ascii="仿宋_GB2312" w:eastAsia="仿宋_GB2312" w:hAnsi="仿宋_GB2312" w:cs="Times New Roman"/>
          <w:sz w:val="32"/>
          <w:szCs w:val="32"/>
        </w:rPr>
        <w:t>万元。</w:t>
      </w:r>
    </w:p>
    <w:p w:rsidR="00EF3BC7" w:rsidRDefault="00BB3253">
      <w:pPr>
        <w:spacing w:line="360" w:lineRule="auto"/>
        <w:ind w:firstLine="645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Times New Roman"/>
          <w:b/>
          <w:bCs/>
          <w:sz w:val="32"/>
          <w:szCs w:val="32"/>
        </w:rPr>
        <w:lastRenderedPageBreak/>
        <w:t>4.</w:t>
      </w: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>联系</w:t>
      </w:r>
      <w:r>
        <w:rPr>
          <w:rFonts w:ascii="仿宋_GB2312" w:eastAsia="仿宋_GB2312" w:hAnsi="仿宋_GB2312" w:cs="Times New Roman"/>
          <w:b/>
          <w:bCs/>
          <w:sz w:val="32"/>
          <w:szCs w:val="32"/>
        </w:rPr>
        <w:t>方式</w:t>
      </w:r>
    </w:p>
    <w:p w:rsidR="00EF3BC7" w:rsidRDefault="00BB3253">
      <w:pPr>
        <w:spacing w:line="360" w:lineRule="auto"/>
        <w:ind w:firstLine="645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北京卫蓝新能源科技股份有限公司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sz w:val="32"/>
          <w:szCs w:val="32"/>
        </w:rPr>
        <w:t>徐航宇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/>
          <w:sz w:val="32"/>
          <w:szCs w:val="32"/>
        </w:rPr>
        <w:t>18901290435</w:t>
      </w:r>
    </w:p>
    <w:p w:rsidR="00EF3BC7" w:rsidRDefault="00BB3253">
      <w:pPr>
        <w:spacing w:line="360" w:lineRule="auto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二、</w:t>
      </w:r>
      <w:r>
        <w:rPr>
          <w:rFonts w:ascii="黑体" w:eastAsia="黑体" w:hAnsi="黑体" w:cs="Times New Roman"/>
          <w:bCs/>
          <w:sz w:val="32"/>
          <w:szCs w:val="32"/>
        </w:rPr>
        <w:t>中长时液流电池储能技术</w:t>
      </w:r>
    </w:p>
    <w:p w:rsidR="00EF3BC7" w:rsidRDefault="00BB3253">
      <w:pPr>
        <w:spacing w:line="360" w:lineRule="auto"/>
        <w:ind w:firstLineChars="200" w:firstLine="643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Times New Roman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>项目</w:t>
      </w:r>
      <w:r>
        <w:rPr>
          <w:rFonts w:ascii="仿宋_GB2312" w:eastAsia="仿宋_GB2312" w:hAnsi="仿宋_GB2312" w:cs="Times New Roman"/>
          <w:b/>
          <w:bCs/>
          <w:sz w:val="32"/>
          <w:szCs w:val="32"/>
        </w:rPr>
        <w:t>背景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2022</w:t>
      </w:r>
      <w:r>
        <w:rPr>
          <w:rFonts w:ascii="仿宋_GB2312" w:eastAsia="仿宋_GB2312" w:hAnsi="仿宋_GB2312" w:cs="Times New Roman"/>
          <w:sz w:val="32"/>
          <w:szCs w:val="32"/>
        </w:rPr>
        <w:t>年，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国家发改委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和能源局印发了《以沙漠、戈壁、荒漠地区为重点的大型风电光伏基地规划布局方案》，计划到</w:t>
      </w:r>
      <w:r>
        <w:rPr>
          <w:rFonts w:ascii="仿宋_GB2312" w:eastAsia="仿宋_GB2312" w:hAnsi="仿宋_GB2312" w:cs="Times New Roman"/>
          <w:sz w:val="32"/>
          <w:szCs w:val="32"/>
        </w:rPr>
        <w:t>2030</w:t>
      </w:r>
      <w:r>
        <w:rPr>
          <w:rFonts w:ascii="仿宋_GB2312" w:eastAsia="仿宋_GB2312" w:hAnsi="仿宋_GB2312" w:cs="Times New Roman"/>
          <w:sz w:val="32"/>
          <w:szCs w:val="32"/>
        </w:rPr>
        <w:t>年，内蒙古自治区境内四大沙漠地区规划装机</w:t>
      </w:r>
      <w:r>
        <w:rPr>
          <w:rFonts w:ascii="仿宋_GB2312" w:eastAsia="仿宋_GB2312" w:hAnsi="仿宋_GB2312" w:cs="Times New Roman"/>
          <w:sz w:val="32"/>
          <w:szCs w:val="32"/>
        </w:rPr>
        <w:t>2.84</w:t>
      </w:r>
      <w:r>
        <w:rPr>
          <w:rFonts w:ascii="仿宋_GB2312" w:eastAsia="仿宋_GB2312" w:hAnsi="仿宋_GB2312" w:cs="Times New Roman"/>
          <w:sz w:val="32"/>
          <w:szCs w:val="32"/>
        </w:rPr>
        <w:t>亿千瓦。但是太阳能、风能日均间歇期均超过</w:t>
      </w:r>
      <w:r>
        <w:rPr>
          <w:rFonts w:ascii="仿宋_GB2312" w:eastAsia="仿宋_GB2312" w:hAnsi="仿宋_GB2312" w:cs="Times New Roman"/>
          <w:sz w:val="32"/>
          <w:szCs w:val="32"/>
        </w:rPr>
        <w:t>10</w:t>
      </w:r>
      <w:r>
        <w:rPr>
          <w:rFonts w:ascii="仿宋_GB2312" w:eastAsia="仿宋_GB2312" w:hAnsi="仿宋_GB2312" w:cs="Times New Roman"/>
          <w:sz w:val="32"/>
          <w:szCs w:val="32"/>
        </w:rPr>
        <w:t>小时，新能源的平滑输出对大规模储能提出了较高的需求。现有</w:t>
      </w:r>
      <w:r>
        <w:rPr>
          <w:rFonts w:ascii="仿宋_GB2312" w:eastAsia="仿宋_GB2312" w:hAnsi="仿宋_GB2312" w:cs="Times New Roman"/>
          <w:sz w:val="32"/>
          <w:szCs w:val="32"/>
        </w:rPr>
        <w:t>2-4 h</w:t>
      </w:r>
      <w:r>
        <w:rPr>
          <w:rFonts w:ascii="仿宋_GB2312" w:eastAsia="仿宋_GB2312" w:hAnsi="仿宋_GB2312" w:cs="Times New Roman"/>
          <w:sz w:val="32"/>
          <w:szCs w:val="32"/>
        </w:rPr>
        <w:t>的中短时储能，难以有效支撑大规模光电、风电的并网消纳。液流电池具有本征安全、时长灵活、扩容方便、循环寿命长等技术特点，是大规模可再生能源并网消纳的关键支撑技术之一。我国对液流电池技术高度重视，积极布局，目前已成功建成世界上功率最大、容量最大</w:t>
      </w:r>
      <w:r>
        <w:rPr>
          <w:rFonts w:ascii="仿宋_GB2312" w:eastAsia="仿宋_GB2312" w:hAnsi="仿宋_GB2312" w:cs="Times New Roman"/>
          <w:sz w:val="32"/>
          <w:szCs w:val="32"/>
        </w:rPr>
        <w:t>的</w:t>
      </w:r>
      <w:r>
        <w:rPr>
          <w:rFonts w:ascii="仿宋_GB2312" w:eastAsia="仿宋_GB2312" w:hAnsi="仿宋_GB2312" w:cs="Times New Roman"/>
          <w:sz w:val="32"/>
          <w:szCs w:val="32"/>
        </w:rPr>
        <w:t>100MW/400MWh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全钒液流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电池储能调峰电站。</w:t>
      </w:r>
      <w:r>
        <w:rPr>
          <w:rFonts w:ascii="仿宋_GB2312" w:eastAsia="仿宋_GB2312" w:hAnsi="仿宋_GB2312" w:cs="Times New Roman"/>
          <w:sz w:val="32"/>
          <w:szCs w:val="32"/>
        </w:rPr>
        <w:t>2024</w:t>
      </w:r>
      <w:r>
        <w:rPr>
          <w:rFonts w:ascii="仿宋_GB2312" w:eastAsia="仿宋_GB2312" w:hAnsi="仿宋_GB2312" w:cs="Times New Roman"/>
          <w:sz w:val="32"/>
          <w:szCs w:val="32"/>
        </w:rPr>
        <w:t>国家能源局</w:t>
      </w:r>
      <w:r>
        <w:rPr>
          <w:rFonts w:ascii="仿宋_GB2312" w:eastAsia="仿宋_GB2312" w:hAnsi="仿宋_GB2312" w:cs="Times New Roman"/>
          <w:sz w:val="32"/>
          <w:szCs w:val="32"/>
        </w:rPr>
        <w:t>1</w:t>
      </w:r>
      <w:r>
        <w:rPr>
          <w:rFonts w:ascii="仿宋_GB2312" w:eastAsia="仿宋_GB2312" w:hAnsi="仿宋_GB2312" w:cs="Times New Roman"/>
          <w:sz w:val="32"/>
          <w:szCs w:val="32"/>
        </w:rPr>
        <w:t>号公告公布了</w:t>
      </w:r>
      <w:r>
        <w:rPr>
          <w:rFonts w:ascii="仿宋_GB2312" w:eastAsia="仿宋_GB2312" w:hAnsi="仿宋_GB2312" w:cs="Times New Roman"/>
          <w:sz w:val="32"/>
          <w:szCs w:val="32"/>
        </w:rPr>
        <w:t>56</w:t>
      </w:r>
      <w:r>
        <w:rPr>
          <w:rFonts w:ascii="仿宋_GB2312" w:eastAsia="仿宋_GB2312" w:hAnsi="仿宋_GB2312" w:cs="Times New Roman"/>
          <w:sz w:val="32"/>
          <w:szCs w:val="32"/>
        </w:rPr>
        <w:t>个新型储能示范项目，其中包含液流电池储能项目</w:t>
      </w:r>
      <w:r>
        <w:rPr>
          <w:rFonts w:ascii="仿宋_GB2312" w:eastAsia="仿宋_GB2312" w:hAnsi="仿宋_GB2312" w:cs="Times New Roman"/>
          <w:sz w:val="32"/>
          <w:szCs w:val="32"/>
        </w:rPr>
        <w:t>8</w:t>
      </w:r>
      <w:r>
        <w:rPr>
          <w:rFonts w:ascii="仿宋_GB2312" w:eastAsia="仿宋_GB2312" w:hAnsi="仿宋_GB2312" w:cs="Times New Roman"/>
          <w:sz w:val="32"/>
          <w:szCs w:val="32"/>
        </w:rPr>
        <w:t>项。在液流电池示范项目快速建设背景下，液流电池面临的技术瓶颈问题尚未突破。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全钒液流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电池技术虽然已趋于成熟，但其初装成本高达</w:t>
      </w:r>
      <w:r>
        <w:rPr>
          <w:rFonts w:ascii="仿宋_GB2312" w:eastAsia="仿宋_GB2312" w:hAnsi="仿宋_GB2312" w:cs="Times New Roman"/>
          <w:sz w:val="32"/>
          <w:szCs w:val="32"/>
        </w:rPr>
        <w:t>2.5</w:t>
      </w:r>
      <w:r>
        <w:rPr>
          <w:rFonts w:ascii="仿宋_GB2312" w:eastAsia="仿宋_GB2312" w:hAnsi="仿宋_GB2312" w:cs="Times New Roman"/>
          <w:sz w:val="32"/>
          <w:szCs w:val="32"/>
        </w:rPr>
        <w:t>元</w:t>
      </w:r>
      <w:r>
        <w:rPr>
          <w:rFonts w:ascii="仿宋_GB2312" w:eastAsia="仿宋_GB2312" w:hAnsi="仿宋_GB2312" w:cs="Times New Roman"/>
          <w:sz w:val="32"/>
          <w:szCs w:val="32"/>
        </w:rPr>
        <w:t>/</w:t>
      </w:r>
      <w:proofErr w:type="spellStart"/>
      <w:r>
        <w:rPr>
          <w:rFonts w:ascii="仿宋_GB2312" w:eastAsia="仿宋_GB2312" w:hAnsi="仿宋_GB2312" w:cs="Times New Roman"/>
          <w:sz w:val="32"/>
          <w:szCs w:val="32"/>
        </w:rPr>
        <w:t>Wh</w:t>
      </w:r>
      <w:proofErr w:type="spellEnd"/>
      <w:r>
        <w:rPr>
          <w:rFonts w:ascii="仿宋_GB2312" w:eastAsia="仿宋_GB2312" w:hAnsi="仿宋_GB2312" w:cs="Times New Roman"/>
          <w:sz w:val="32"/>
          <w:szCs w:val="32"/>
        </w:rPr>
        <w:t>，难以商业化推广。其根源在于现有液流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电池电堆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功率密度低、电解液利用率低，系统庞大，材料用料多，成本高。布局兆瓦级新一代液流电池储能技术攻关项目，开发国际领先的高功率密度、低成本的液流电池技术，以技术进步引领液流电</w:t>
      </w:r>
      <w:r>
        <w:rPr>
          <w:rFonts w:ascii="仿宋_GB2312" w:eastAsia="仿宋_GB2312" w:hAnsi="仿宋_GB2312" w:cs="Times New Roman"/>
          <w:sz w:val="32"/>
          <w:szCs w:val="32"/>
        </w:rPr>
        <w:lastRenderedPageBreak/>
        <w:t>池产业发展，凝聚液流电池产业链</w:t>
      </w:r>
      <w:r>
        <w:rPr>
          <w:rFonts w:ascii="仿宋_GB2312" w:eastAsia="仿宋_GB2312" w:hAnsi="仿宋_GB2312" w:cs="Times New Roman"/>
          <w:sz w:val="32"/>
          <w:szCs w:val="32"/>
        </w:rPr>
        <w:t>上下游资源，支撑蒙古自治区建成液流电池产业强区。</w:t>
      </w:r>
    </w:p>
    <w:p w:rsidR="00EF3BC7" w:rsidRDefault="00BB3253">
      <w:pPr>
        <w:spacing w:line="360" w:lineRule="auto"/>
        <w:ind w:firstLineChars="200" w:firstLine="643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Times New Roman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>研究内容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本方向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将重点发展以液流电池为代表的中长时间尺度储能技术。重点突破以下四方面关键科学和技术问题：（</w:t>
      </w:r>
      <w:r>
        <w:rPr>
          <w:rFonts w:ascii="仿宋_GB2312" w:eastAsia="仿宋_GB2312" w:hAnsi="仿宋_GB2312" w:cs="Times New Roman"/>
          <w:sz w:val="32"/>
          <w:szCs w:val="32"/>
        </w:rPr>
        <w:t>1</w:t>
      </w:r>
      <w:r>
        <w:rPr>
          <w:rFonts w:ascii="仿宋_GB2312" w:eastAsia="仿宋_GB2312" w:hAnsi="仿宋_GB2312" w:cs="Times New Roman"/>
          <w:sz w:val="32"/>
          <w:szCs w:val="32"/>
        </w:rPr>
        <w:t>）液流电池储能热物理</w:t>
      </w:r>
      <w:r>
        <w:rPr>
          <w:rFonts w:ascii="仿宋_GB2312" w:eastAsia="仿宋_GB2312" w:hAnsi="仿宋_GB2312" w:cs="Times New Roman"/>
          <w:sz w:val="32"/>
          <w:szCs w:val="32"/>
        </w:rPr>
        <w:t>-</w:t>
      </w:r>
      <w:r>
        <w:rPr>
          <w:rFonts w:ascii="仿宋_GB2312" w:eastAsia="仿宋_GB2312" w:hAnsi="仿宋_GB2312" w:cs="Times New Roman"/>
          <w:sz w:val="32"/>
          <w:szCs w:val="32"/>
        </w:rPr>
        <w:t>电化学耦合理论；（</w:t>
      </w:r>
      <w:r>
        <w:rPr>
          <w:rFonts w:ascii="仿宋_GB2312" w:eastAsia="仿宋_GB2312" w:hAnsi="仿宋_GB2312" w:cs="Times New Roman"/>
          <w:sz w:val="32"/>
          <w:szCs w:val="32"/>
        </w:rPr>
        <w:t>2</w:t>
      </w:r>
      <w:r>
        <w:rPr>
          <w:rFonts w:ascii="仿宋_GB2312" w:eastAsia="仿宋_GB2312" w:hAnsi="仿宋_GB2312" w:cs="Times New Roman"/>
          <w:sz w:val="32"/>
          <w:szCs w:val="32"/>
        </w:rPr>
        <w:t>）液流电池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电极构效关系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与梯度有序电极批量化制备工艺；（</w:t>
      </w:r>
      <w:r>
        <w:rPr>
          <w:rFonts w:ascii="仿宋_GB2312" w:eastAsia="仿宋_GB2312" w:hAnsi="仿宋_GB2312" w:cs="Times New Roman"/>
          <w:sz w:val="32"/>
          <w:szCs w:val="32"/>
        </w:rPr>
        <w:t>3</w:t>
      </w:r>
      <w:r>
        <w:rPr>
          <w:rFonts w:ascii="仿宋_GB2312" w:eastAsia="仿宋_GB2312" w:hAnsi="仿宋_GB2312" w:cs="Times New Roman"/>
          <w:sz w:val="32"/>
          <w:szCs w:val="32"/>
        </w:rPr>
        <w:t>）高功率密度液流电池流场结构设计方法；（</w:t>
      </w:r>
      <w:r>
        <w:rPr>
          <w:rFonts w:ascii="仿宋_GB2312" w:eastAsia="仿宋_GB2312" w:hAnsi="仿宋_GB2312" w:cs="Times New Roman"/>
          <w:sz w:val="32"/>
          <w:szCs w:val="32"/>
        </w:rPr>
        <w:t>4</w:t>
      </w:r>
      <w:r>
        <w:rPr>
          <w:rFonts w:ascii="仿宋_GB2312" w:eastAsia="仿宋_GB2312" w:hAnsi="仿宋_GB2312" w:cs="Times New Roman"/>
          <w:sz w:val="32"/>
          <w:szCs w:val="32"/>
        </w:rPr>
        <w:t>）液流电池系统管理技术。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拟通过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本方向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的开展，研究液流电池设计工具、高功率密度电极、低流阻高均匀流场，建成兆瓦级液流电池储能系统，包括：研究热物理</w:t>
      </w:r>
      <w:r>
        <w:rPr>
          <w:rFonts w:ascii="仿宋_GB2312" w:eastAsia="仿宋_GB2312" w:hAnsi="仿宋_GB2312" w:cs="Times New Roman"/>
          <w:sz w:val="32"/>
          <w:szCs w:val="32"/>
        </w:rPr>
        <w:t>-</w:t>
      </w:r>
      <w:r>
        <w:rPr>
          <w:rFonts w:ascii="仿宋_GB2312" w:eastAsia="仿宋_GB2312" w:hAnsi="仿宋_GB2312" w:cs="Times New Roman"/>
          <w:sz w:val="32"/>
          <w:szCs w:val="32"/>
        </w:rPr>
        <w:t>电化学耦合理论，开发液流电池理性设计工具；研究梯度有序的高功</w:t>
      </w:r>
      <w:r>
        <w:rPr>
          <w:rFonts w:ascii="仿宋_GB2312" w:eastAsia="仿宋_GB2312" w:hAnsi="仿宋_GB2312" w:cs="Times New Roman"/>
          <w:sz w:val="32"/>
          <w:szCs w:val="32"/>
        </w:rPr>
        <w:t>率密度多孔电极；研究液流电池流场结构和装配工艺；开发液流电池储能系统，建成兆瓦级液流电池示范，系统功率密度、电解液利用率的核心指标达到国际领先水平，支撑内蒙古自治区抢占液流电池储能技术高地与商业化先机，率先建成新能源为主体的新型电力系统。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考核指标</w:t>
      </w:r>
      <w:r>
        <w:rPr>
          <w:rFonts w:ascii="仿宋_GB2312" w:eastAsia="仿宋_GB2312" w:hAnsi="仿宋_GB2312" w:cs="Times New Roman"/>
          <w:sz w:val="32"/>
          <w:szCs w:val="32"/>
        </w:rPr>
        <w:t>：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（</w:t>
      </w:r>
      <w:r>
        <w:rPr>
          <w:rFonts w:ascii="仿宋_GB2312" w:eastAsia="仿宋_GB2312" w:hAnsi="仿宋_GB2312" w:cs="Times New Roman"/>
          <w:sz w:val="32"/>
          <w:szCs w:val="32"/>
        </w:rPr>
        <w:t>1</w:t>
      </w:r>
      <w:r>
        <w:rPr>
          <w:rFonts w:ascii="仿宋_GB2312" w:eastAsia="仿宋_GB2312" w:hAnsi="仿宋_GB2312" w:cs="Times New Roman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建立热质传递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-</w:t>
      </w:r>
      <w:r>
        <w:rPr>
          <w:rFonts w:ascii="仿宋_GB2312" w:eastAsia="仿宋_GB2312" w:hAnsi="仿宋_GB2312" w:cs="Times New Roman"/>
          <w:sz w:val="32"/>
          <w:szCs w:val="32"/>
        </w:rPr>
        <w:t>电化学反应耦合理论，开发液流电池仿真设计模型，模型额定放电电压下，电流密度误差低于</w:t>
      </w:r>
      <w:r>
        <w:rPr>
          <w:rFonts w:ascii="仿宋_GB2312" w:eastAsia="仿宋_GB2312" w:hAnsi="仿宋_GB2312" w:cs="Times New Roman"/>
          <w:sz w:val="32"/>
          <w:szCs w:val="32"/>
        </w:rPr>
        <w:t>10%</w:t>
      </w:r>
      <w:r>
        <w:rPr>
          <w:rFonts w:ascii="仿宋_GB2312" w:eastAsia="仿宋_GB2312" w:hAnsi="仿宋_GB2312" w:cs="Times New Roman"/>
          <w:sz w:val="32"/>
          <w:szCs w:val="32"/>
        </w:rPr>
        <w:t>。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（</w:t>
      </w:r>
      <w:r>
        <w:rPr>
          <w:rFonts w:ascii="仿宋_GB2312" w:eastAsia="仿宋_GB2312" w:hAnsi="仿宋_GB2312" w:cs="Times New Roman"/>
          <w:sz w:val="32"/>
          <w:szCs w:val="32"/>
        </w:rPr>
        <w:t>2</w:t>
      </w:r>
      <w:r>
        <w:rPr>
          <w:rFonts w:ascii="仿宋_GB2312" w:eastAsia="仿宋_GB2312" w:hAnsi="仿宋_GB2312" w:cs="Times New Roman"/>
          <w:sz w:val="32"/>
          <w:szCs w:val="32"/>
        </w:rPr>
        <w:t>）研发具有有序孔隙的石墨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毡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电极，开发电极活化工艺，单电池电流密度达到</w:t>
      </w:r>
      <w:r>
        <w:rPr>
          <w:rFonts w:ascii="仿宋_GB2312" w:eastAsia="仿宋_GB2312" w:hAnsi="仿宋_GB2312" w:cs="Times New Roman"/>
          <w:sz w:val="32"/>
          <w:szCs w:val="32"/>
        </w:rPr>
        <w:t>500 mA/cm</w:t>
      </w:r>
      <w:r>
        <w:rPr>
          <w:rFonts w:ascii="仿宋_GB2312" w:eastAsia="仿宋_GB2312" w:hAnsi="仿宋_GB2312" w:cs="Times New Roman"/>
          <w:sz w:val="32"/>
          <w:szCs w:val="32"/>
          <w:vertAlign w:val="superscript"/>
        </w:rPr>
        <w:t>2</w:t>
      </w:r>
      <w:r>
        <w:rPr>
          <w:rFonts w:ascii="仿宋_GB2312" w:eastAsia="仿宋_GB2312" w:hAnsi="仿宋_GB2312" w:cs="Times New Roman"/>
          <w:sz w:val="32"/>
          <w:szCs w:val="32"/>
        </w:rPr>
        <w:t>以上，每千圈循环下不可逆衰减为</w:t>
      </w:r>
      <w:r>
        <w:rPr>
          <w:rFonts w:ascii="仿宋_GB2312" w:eastAsia="仿宋_GB2312" w:hAnsi="仿宋_GB2312" w:cs="Times New Roman"/>
          <w:sz w:val="32"/>
          <w:szCs w:val="32"/>
        </w:rPr>
        <w:t>1%</w:t>
      </w:r>
      <w:r>
        <w:rPr>
          <w:rFonts w:ascii="仿宋_GB2312" w:eastAsia="仿宋_GB2312" w:hAnsi="仿宋_GB2312" w:cs="Times New Roman"/>
          <w:sz w:val="32"/>
          <w:szCs w:val="32"/>
        </w:rPr>
        <w:t>以内。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Times New Roman"/>
          <w:sz w:val="32"/>
          <w:szCs w:val="32"/>
        </w:rPr>
        <w:t>3</w:t>
      </w:r>
      <w:r>
        <w:rPr>
          <w:rFonts w:ascii="仿宋_GB2312" w:eastAsia="仿宋_GB2312" w:hAnsi="仿宋_GB2312" w:cs="Times New Roman"/>
          <w:sz w:val="32"/>
          <w:szCs w:val="32"/>
        </w:rPr>
        <w:t>）开发新型高功率密度、高电解液利用率电堆，额定电流密度达到</w:t>
      </w:r>
      <w:r>
        <w:rPr>
          <w:rFonts w:ascii="仿宋_GB2312" w:eastAsia="仿宋_GB2312" w:hAnsi="仿宋_GB2312" w:cs="Times New Roman"/>
          <w:sz w:val="32"/>
          <w:szCs w:val="32"/>
        </w:rPr>
        <w:t>300 mA/cm</w:t>
      </w:r>
      <w:r>
        <w:rPr>
          <w:rFonts w:ascii="仿宋_GB2312" w:eastAsia="仿宋_GB2312" w:hAnsi="仿宋_GB2312" w:cs="Times New Roman"/>
          <w:sz w:val="32"/>
          <w:szCs w:val="32"/>
          <w:vertAlign w:val="superscript"/>
        </w:rPr>
        <w:t>2</w:t>
      </w:r>
      <w:r>
        <w:rPr>
          <w:rFonts w:ascii="仿宋_GB2312" w:eastAsia="仿宋_GB2312" w:hAnsi="仿宋_GB2312" w:cs="Times New Roman"/>
          <w:sz w:val="32"/>
          <w:szCs w:val="32"/>
        </w:rPr>
        <w:t>以上，单堆功率达到</w:t>
      </w:r>
      <w:r>
        <w:rPr>
          <w:rFonts w:ascii="仿宋_GB2312" w:eastAsia="仿宋_GB2312" w:hAnsi="仿宋_GB2312" w:cs="Times New Roman"/>
          <w:sz w:val="32"/>
          <w:szCs w:val="32"/>
        </w:rPr>
        <w:t>40 kW</w:t>
      </w:r>
      <w:r>
        <w:rPr>
          <w:rFonts w:ascii="仿宋_GB2312" w:eastAsia="仿宋_GB2312" w:hAnsi="仿宋_GB2312" w:cs="Times New Roman"/>
          <w:sz w:val="32"/>
          <w:szCs w:val="32"/>
        </w:rPr>
        <w:t>以上，电解液利用率达到</w:t>
      </w:r>
      <w:r>
        <w:rPr>
          <w:rFonts w:ascii="仿宋_GB2312" w:eastAsia="仿宋_GB2312" w:hAnsi="仿宋_GB2312" w:cs="Times New Roman"/>
          <w:sz w:val="32"/>
          <w:szCs w:val="32"/>
        </w:rPr>
        <w:t>75%</w:t>
      </w:r>
      <w:r>
        <w:rPr>
          <w:rFonts w:ascii="仿宋_GB2312" w:eastAsia="仿宋_GB2312" w:hAnsi="仿宋_GB2312" w:cs="Times New Roman"/>
          <w:sz w:val="32"/>
          <w:szCs w:val="32"/>
        </w:rPr>
        <w:t>以上。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（</w:t>
      </w:r>
      <w:r>
        <w:rPr>
          <w:rFonts w:ascii="仿宋_GB2312" w:eastAsia="仿宋_GB2312" w:hAnsi="仿宋_GB2312" w:cs="Times New Roman"/>
          <w:sz w:val="32"/>
          <w:szCs w:val="32"/>
        </w:rPr>
        <w:t>4</w:t>
      </w:r>
      <w:r>
        <w:rPr>
          <w:rFonts w:ascii="仿宋_GB2312" w:eastAsia="仿宋_GB2312" w:hAnsi="仿宋_GB2312" w:cs="Times New Roman"/>
          <w:sz w:val="32"/>
          <w:szCs w:val="32"/>
        </w:rPr>
        <w:t>）建设</w:t>
      </w:r>
      <w:r>
        <w:rPr>
          <w:rFonts w:ascii="仿宋_GB2312" w:eastAsia="仿宋_GB2312" w:hAnsi="仿宋_GB2312" w:cs="Times New Roman"/>
          <w:sz w:val="32"/>
          <w:szCs w:val="32"/>
        </w:rPr>
        <w:t>1 MW/5 MWh</w:t>
      </w:r>
      <w:r>
        <w:rPr>
          <w:rFonts w:ascii="仿宋_GB2312" w:eastAsia="仿宋_GB2312" w:hAnsi="仿宋_GB2312" w:cs="Times New Roman"/>
          <w:sz w:val="32"/>
          <w:szCs w:val="32"/>
        </w:rPr>
        <w:t>液流电池示范项目系统，研发系统运行控制系统，温度波动小于</w:t>
      </w:r>
      <w:r>
        <w:rPr>
          <w:rFonts w:ascii="仿宋_GB2312" w:eastAsia="仿宋_GB2312" w:hAnsi="仿宋_GB2312" w:cs="Times New Roman"/>
          <w:sz w:val="32"/>
          <w:szCs w:val="32"/>
        </w:rPr>
        <w:t>±5 K</w:t>
      </w:r>
      <w:r>
        <w:rPr>
          <w:rFonts w:ascii="仿宋_GB2312" w:eastAsia="仿宋_GB2312" w:hAnsi="仿宋_GB2312" w:cs="Times New Roman"/>
          <w:sz w:val="32"/>
          <w:szCs w:val="32"/>
        </w:rPr>
        <w:t>，充分利用自然冷却，系统</w:t>
      </w:r>
      <w:r>
        <w:rPr>
          <w:rFonts w:ascii="仿宋_GB2312" w:eastAsia="仿宋_GB2312" w:hAnsi="仿宋_GB2312" w:cs="Times New Roman"/>
          <w:sz w:val="32"/>
          <w:szCs w:val="32"/>
        </w:rPr>
        <w:t>AC-AC</w:t>
      </w:r>
      <w:r>
        <w:rPr>
          <w:rFonts w:ascii="仿宋_GB2312" w:eastAsia="仿宋_GB2312" w:hAnsi="仿宋_GB2312" w:cs="Times New Roman"/>
          <w:sz w:val="32"/>
          <w:szCs w:val="32"/>
        </w:rPr>
        <w:t>能量效率高于</w:t>
      </w:r>
      <w:r>
        <w:rPr>
          <w:rFonts w:ascii="仿宋_GB2312" w:eastAsia="仿宋_GB2312" w:hAnsi="仿宋_GB2312" w:cs="Times New Roman"/>
          <w:sz w:val="32"/>
          <w:szCs w:val="32"/>
        </w:rPr>
        <w:t>72%</w:t>
      </w:r>
      <w:r>
        <w:rPr>
          <w:rFonts w:ascii="仿宋_GB2312" w:eastAsia="仿宋_GB2312" w:hAnsi="仿宋_GB2312" w:cs="Times New Roman"/>
          <w:sz w:val="32"/>
          <w:szCs w:val="32"/>
        </w:rPr>
        <w:t>。</w:t>
      </w:r>
    </w:p>
    <w:p w:rsidR="00EF3BC7" w:rsidRDefault="00BB3253">
      <w:pPr>
        <w:spacing w:line="360" w:lineRule="auto"/>
        <w:ind w:firstLineChars="200" w:firstLine="643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Times New Roman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Times New Roman"/>
          <w:b/>
          <w:bCs/>
          <w:sz w:val="32"/>
          <w:szCs w:val="32"/>
        </w:rPr>
        <w:t>研发团队</w:t>
      </w: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>及资金需求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项目</w:t>
      </w:r>
      <w:r>
        <w:rPr>
          <w:rFonts w:ascii="仿宋_GB2312" w:eastAsia="仿宋_GB2312" w:hAnsi="仿宋_GB2312" w:cs="Times New Roman" w:hint="eastAsia"/>
          <w:sz w:val="32"/>
          <w:szCs w:val="32"/>
        </w:rPr>
        <w:t>关键技术来源</w:t>
      </w:r>
      <w:r>
        <w:rPr>
          <w:rFonts w:ascii="仿宋_GB2312" w:eastAsia="仿宋_GB2312" w:hAnsi="仿宋_GB2312" w:cs="Times New Roman"/>
          <w:sz w:val="32"/>
          <w:szCs w:val="32"/>
        </w:rPr>
        <w:t>于南方科技大学，南方科技大学赵天寿院士团队</w:t>
      </w:r>
      <w:r>
        <w:rPr>
          <w:rFonts w:ascii="仿宋_GB2312" w:eastAsia="仿宋_GB2312" w:hAnsi="仿宋_GB2312" w:cs="Times New Roman" w:hint="eastAsia"/>
          <w:sz w:val="32"/>
          <w:szCs w:val="32"/>
        </w:rPr>
        <w:t>长期从事液流电池储能技术研究，目前团队液流电池关键性能指标功率密度、电解液利用率均处于世界领先水平。团队与领域内离子交换膜、电极、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电堆</w:t>
      </w:r>
      <w:r>
        <w:rPr>
          <w:rFonts w:ascii="仿宋_GB2312" w:eastAsia="仿宋_GB2312" w:hAnsi="仿宋_GB2312" w:cs="Times New Roman" w:hint="eastAsia"/>
          <w:sz w:val="32"/>
          <w:szCs w:val="32"/>
        </w:rPr>
        <w:t>的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龙头企业有一定合作基础。需要</w:t>
      </w:r>
      <w:r>
        <w:rPr>
          <w:rFonts w:ascii="仿宋_GB2312" w:eastAsia="仿宋_GB2312" w:hAnsi="仿宋_GB2312" w:cs="Times New Roman"/>
          <w:sz w:val="32"/>
          <w:szCs w:val="32"/>
        </w:rPr>
        <w:t>内蒙古境内符合转化条件的企业与技术供给方组成创新联合体，开展</w:t>
      </w:r>
      <w:r>
        <w:rPr>
          <w:rFonts w:ascii="仿宋_GB2312" w:eastAsia="仿宋_GB2312" w:hAnsi="仿宋_GB2312" w:cs="Times New Roman" w:hint="eastAsia"/>
          <w:sz w:val="32"/>
          <w:szCs w:val="32"/>
        </w:rPr>
        <w:t>关键技术示范</w:t>
      </w:r>
      <w:r>
        <w:rPr>
          <w:rFonts w:ascii="仿宋_GB2312" w:eastAsia="仿宋_GB2312" w:hAnsi="仿宋_GB2312" w:cs="Times New Roman"/>
          <w:sz w:val="32"/>
          <w:szCs w:val="32"/>
        </w:rPr>
        <w:t>与成果转化</w:t>
      </w:r>
      <w:r>
        <w:rPr>
          <w:rFonts w:ascii="仿宋_GB2312" w:eastAsia="仿宋_GB2312" w:hAnsi="仿宋_GB2312" w:cs="Times New Roman" w:hint="eastAsia"/>
          <w:sz w:val="32"/>
          <w:szCs w:val="32"/>
        </w:rPr>
        <w:t>、</w:t>
      </w:r>
      <w:r>
        <w:rPr>
          <w:rFonts w:ascii="仿宋_GB2312" w:eastAsia="仿宋_GB2312" w:hAnsi="仿宋_GB2312" w:cs="Times New Roman"/>
          <w:sz w:val="32"/>
          <w:szCs w:val="32"/>
        </w:rPr>
        <w:t>产业落地</w:t>
      </w:r>
      <w:r>
        <w:rPr>
          <w:rFonts w:ascii="仿宋_GB2312" w:eastAsia="仿宋_GB2312" w:hAnsi="仿宋_GB2312" w:cs="Times New Roman" w:hint="eastAsia"/>
          <w:sz w:val="32"/>
          <w:szCs w:val="32"/>
        </w:rPr>
        <w:t>。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按照项目</w:t>
      </w:r>
      <w:r>
        <w:rPr>
          <w:rFonts w:ascii="仿宋_GB2312" w:eastAsia="仿宋_GB2312" w:hAnsi="仿宋_GB2312" w:cs="Times New Roman"/>
          <w:sz w:val="32"/>
          <w:szCs w:val="32"/>
        </w:rPr>
        <w:t>总</w:t>
      </w:r>
      <w:r>
        <w:rPr>
          <w:rFonts w:ascii="仿宋_GB2312" w:eastAsia="仿宋_GB2312" w:hAnsi="仿宋_GB2312" w:cs="Times New Roman" w:hint="eastAsia"/>
          <w:sz w:val="32"/>
          <w:szCs w:val="32"/>
        </w:rPr>
        <w:t>体</w:t>
      </w:r>
      <w:r>
        <w:rPr>
          <w:rFonts w:ascii="仿宋_GB2312" w:eastAsia="仿宋_GB2312" w:hAnsi="仿宋_GB2312" w:cs="Times New Roman"/>
          <w:sz w:val="32"/>
          <w:szCs w:val="32"/>
        </w:rPr>
        <w:t>规模，</w:t>
      </w:r>
      <w:r>
        <w:rPr>
          <w:rFonts w:ascii="仿宋_GB2312" w:eastAsia="仿宋_GB2312" w:hAnsi="仿宋_GB2312" w:cs="Times New Roman" w:hint="eastAsia"/>
          <w:sz w:val="32"/>
          <w:szCs w:val="32"/>
        </w:rPr>
        <w:t>自治区</w:t>
      </w:r>
      <w:r>
        <w:rPr>
          <w:rFonts w:ascii="仿宋_GB2312" w:eastAsia="仿宋_GB2312" w:hAnsi="仿宋_GB2312" w:cs="Times New Roman"/>
          <w:sz w:val="32"/>
          <w:szCs w:val="32"/>
        </w:rPr>
        <w:t>预计专项资金</w:t>
      </w:r>
      <w:r>
        <w:rPr>
          <w:rFonts w:ascii="仿宋_GB2312" w:eastAsia="仿宋_GB2312" w:hAnsi="仿宋_GB2312" w:cs="Times New Roman" w:hint="eastAsia"/>
          <w:sz w:val="32"/>
          <w:szCs w:val="32"/>
        </w:rPr>
        <w:t>投入</w:t>
      </w:r>
      <w:r>
        <w:rPr>
          <w:rFonts w:ascii="仿宋_GB2312" w:eastAsia="仿宋_GB2312" w:hAnsi="仿宋_GB2312" w:cs="Times New Roman"/>
          <w:sz w:val="32"/>
          <w:szCs w:val="32"/>
        </w:rPr>
        <w:t>1500</w:t>
      </w:r>
      <w:r>
        <w:rPr>
          <w:rFonts w:ascii="仿宋_GB2312" w:eastAsia="仿宋_GB2312" w:hAnsi="仿宋_GB2312" w:cs="Times New Roman"/>
          <w:sz w:val="32"/>
          <w:szCs w:val="32"/>
        </w:rPr>
        <w:t>万元，</w:t>
      </w:r>
      <w:r>
        <w:rPr>
          <w:rFonts w:ascii="仿宋_GB2312" w:eastAsia="仿宋_GB2312" w:hAnsi="仿宋_GB2312" w:cs="Times New Roman" w:hint="eastAsia"/>
          <w:sz w:val="32"/>
          <w:szCs w:val="32"/>
        </w:rPr>
        <w:t>需要</w:t>
      </w:r>
      <w:r>
        <w:rPr>
          <w:rFonts w:ascii="仿宋_GB2312" w:eastAsia="仿宋_GB2312" w:hAnsi="仿宋_GB2312" w:cs="Times New Roman"/>
          <w:sz w:val="32"/>
          <w:szCs w:val="32"/>
        </w:rPr>
        <w:t>企业自筹</w:t>
      </w:r>
      <w:r>
        <w:rPr>
          <w:rFonts w:ascii="仿宋_GB2312" w:eastAsia="仿宋_GB2312" w:hAnsi="仿宋_GB2312" w:cs="Times New Roman" w:hint="eastAsia"/>
          <w:sz w:val="32"/>
          <w:szCs w:val="32"/>
        </w:rPr>
        <w:t>不低于</w:t>
      </w:r>
      <w:r>
        <w:rPr>
          <w:rFonts w:ascii="仿宋_GB2312" w:eastAsia="仿宋_GB2312" w:hAnsi="仿宋_GB2312" w:cs="Times New Roman"/>
          <w:sz w:val="32"/>
          <w:szCs w:val="32"/>
        </w:rPr>
        <w:t>3000</w:t>
      </w:r>
      <w:r>
        <w:rPr>
          <w:rFonts w:ascii="仿宋_GB2312" w:eastAsia="仿宋_GB2312" w:hAnsi="仿宋_GB2312" w:cs="Times New Roman"/>
          <w:sz w:val="32"/>
          <w:szCs w:val="32"/>
        </w:rPr>
        <w:t>万元。</w:t>
      </w:r>
    </w:p>
    <w:p w:rsidR="00EF3BC7" w:rsidRDefault="00BB3253">
      <w:pPr>
        <w:spacing w:line="360" w:lineRule="auto"/>
        <w:ind w:firstLine="645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Times New Roman"/>
          <w:b/>
          <w:bCs/>
          <w:sz w:val="32"/>
          <w:szCs w:val="32"/>
        </w:rPr>
        <w:t>4.</w:t>
      </w:r>
      <w:r>
        <w:rPr>
          <w:rFonts w:ascii="仿宋_GB2312" w:eastAsia="仿宋_GB2312" w:hAnsi="仿宋_GB2312" w:cs="Times New Roman" w:hint="eastAsia"/>
          <w:b/>
          <w:bCs/>
          <w:sz w:val="32"/>
          <w:szCs w:val="32"/>
        </w:rPr>
        <w:t>联系</w:t>
      </w:r>
      <w:r>
        <w:rPr>
          <w:rFonts w:ascii="仿宋_GB2312" w:eastAsia="仿宋_GB2312" w:hAnsi="仿宋_GB2312" w:cs="Times New Roman"/>
          <w:b/>
          <w:bCs/>
          <w:sz w:val="32"/>
          <w:szCs w:val="32"/>
        </w:rPr>
        <w:t>方式</w:t>
      </w:r>
    </w:p>
    <w:p w:rsidR="00EF3BC7" w:rsidRDefault="00BB3253">
      <w:pPr>
        <w:spacing w:line="360" w:lineRule="auto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南方科技大学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Times New Roman" w:hint="eastAsia"/>
          <w:sz w:val="32"/>
          <w:szCs w:val="32"/>
        </w:rPr>
        <w:t>李文甲</w:t>
      </w:r>
      <w:r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Times New Roman"/>
          <w:sz w:val="32"/>
          <w:szCs w:val="32"/>
        </w:rPr>
        <w:t xml:space="preserve"> 13331088292</w:t>
      </w:r>
    </w:p>
    <w:p w:rsidR="00EF3BC7" w:rsidRDefault="00EF3BC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sectPr w:rsidR="00EF3BC7">
      <w:pgSz w:w="11906" w:h="16838"/>
      <w:pgMar w:top="1588" w:right="1701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YzBjMTFhY2U1ZGM5OTdmYWFlMGRkZWUyMTA3ODkifQ=="/>
  </w:docVars>
  <w:rsids>
    <w:rsidRoot w:val="00383646"/>
    <w:rsid w:val="00026C11"/>
    <w:rsid w:val="0003055D"/>
    <w:rsid w:val="00080C5D"/>
    <w:rsid w:val="00084837"/>
    <w:rsid w:val="000A138C"/>
    <w:rsid w:val="000B16C6"/>
    <w:rsid w:val="000B6579"/>
    <w:rsid w:val="000F1F0D"/>
    <w:rsid w:val="00140E61"/>
    <w:rsid w:val="00153942"/>
    <w:rsid w:val="001564EC"/>
    <w:rsid w:val="001764DD"/>
    <w:rsid w:val="001A5732"/>
    <w:rsid w:val="001B31E2"/>
    <w:rsid w:val="001C0936"/>
    <w:rsid w:val="001C5F58"/>
    <w:rsid w:val="001E17FB"/>
    <w:rsid w:val="002948A9"/>
    <w:rsid w:val="0033611B"/>
    <w:rsid w:val="00383646"/>
    <w:rsid w:val="003B0765"/>
    <w:rsid w:val="003E39DE"/>
    <w:rsid w:val="003F4F1D"/>
    <w:rsid w:val="004111D2"/>
    <w:rsid w:val="0042532D"/>
    <w:rsid w:val="00427E44"/>
    <w:rsid w:val="004340EA"/>
    <w:rsid w:val="004925AE"/>
    <w:rsid w:val="00495C7D"/>
    <w:rsid w:val="004D4CE1"/>
    <w:rsid w:val="004E42FB"/>
    <w:rsid w:val="005316AE"/>
    <w:rsid w:val="00566131"/>
    <w:rsid w:val="00572BA2"/>
    <w:rsid w:val="005A1095"/>
    <w:rsid w:val="005D6988"/>
    <w:rsid w:val="005E26C3"/>
    <w:rsid w:val="005F2105"/>
    <w:rsid w:val="006256C8"/>
    <w:rsid w:val="00631EC9"/>
    <w:rsid w:val="0063501F"/>
    <w:rsid w:val="00656BE5"/>
    <w:rsid w:val="00666770"/>
    <w:rsid w:val="0066797F"/>
    <w:rsid w:val="006B3DBC"/>
    <w:rsid w:val="006D480E"/>
    <w:rsid w:val="00755783"/>
    <w:rsid w:val="00762C54"/>
    <w:rsid w:val="007F263C"/>
    <w:rsid w:val="008015BE"/>
    <w:rsid w:val="0082004C"/>
    <w:rsid w:val="0084200A"/>
    <w:rsid w:val="00875965"/>
    <w:rsid w:val="0089549D"/>
    <w:rsid w:val="00896B4A"/>
    <w:rsid w:val="008F31C1"/>
    <w:rsid w:val="009010A1"/>
    <w:rsid w:val="00930215"/>
    <w:rsid w:val="0093741F"/>
    <w:rsid w:val="009527BE"/>
    <w:rsid w:val="0096447B"/>
    <w:rsid w:val="00967A6A"/>
    <w:rsid w:val="009D7CA1"/>
    <w:rsid w:val="009D7D3A"/>
    <w:rsid w:val="00A13B45"/>
    <w:rsid w:val="00A33BAD"/>
    <w:rsid w:val="00A820A4"/>
    <w:rsid w:val="00AF3B04"/>
    <w:rsid w:val="00AF3DB7"/>
    <w:rsid w:val="00B02400"/>
    <w:rsid w:val="00B060DB"/>
    <w:rsid w:val="00B26B12"/>
    <w:rsid w:val="00BB2C9F"/>
    <w:rsid w:val="00BB3253"/>
    <w:rsid w:val="00BD1114"/>
    <w:rsid w:val="00C45059"/>
    <w:rsid w:val="00C47031"/>
    <w:rsid w:val="00C4750C"/>
    <w:rsid w:val="00C60701"/>
    <w:rsid w:val="00C76EBC"/>
    <w:rsid w:val="00C83D98"/>
    <w:rsid w:val="00CC1745"/>
    <w:rsid w:val="00D0599C"/>
    <w:rsid w:val="00D4203B"/>
    <w:rsid w:val="00D648DC"/>
    <w:rsid w:val="00D95FAE"/>
    <w:rsid w:val="00DA0E24"/>
    <w:rsid w:val="00DD78AA"/>
    <w:rsid w:val="00DF6C24"/>
    <w:rsid w:val="00E01C1A"/>
    <w:rsid w:val="00E06297"/>
    <w:rsid w:val="00EB2BE9"/>
    <w:rsid w:val="00EF3BC7"/>
    <w:rsid w:val="00F47BD8"/>
    <w:rsid w:val="00F66B3B"/>
    <w:rsid w:val="00F81C14"/>
    <w:rsid w:val="00FB0A5E"/>
    <w:rsid w:val="00FC3FD9"/>
    <w:rsid w:val="0F31382A"/>
    <w:rsid w:val="120668A8"/>
    <w:rsid w:val="189664AC"/>
    <w:rsid w:val="2ED2428A"/>
    <w:rsid w:val="2F302D5E"/>
    <w:rsid w:val="5EE237C6"/>
    <w:rsid w:val="614054CB"/>
    <w:rsid w:val="63912FF2"/>
    <w:rsid w:val="6CF546C4"/>
    <w:rsid w:val="71CC633B"/>
    <w:rsid w:val="744523D5"/>
    <w:rsid w:val="757338B7"/>
    <w:rsid w:val="7E31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6C6FE-3100-498C-966F-7AB9783E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448</Words>
  <Characters>2559</Characters>
  <Application>Microsoft Office Word</Application>
  <DocSecurity>0</DocSecurity>
  <Lines>21</Lines>
  <Paragraphs>6</Paragraphs>
  <ScaleCrop>false</ScaleCrop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AutoBVT</cp:lastModifiedBy>
  <cp:revision>2</cp:revision>
  <cp:lastPrinted>2024-06-07T09:20:00Z</cp:lastPrinted>
  <dcterms:created xsi:type="dcterms:W3CDTF">2024-07-11T08:08:00Z</dcterms:created>
  <dcterms:modified xsi:type="dcterms:W3CDTF">2024-07-11T08:08:00Z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0D7F7C83CE8644FA97E68D03F446B298_13</vt:lpwstr>
  </property>
</Properties>
</file>