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ectPr>
          <w:footerReference r:id="rId5" w:type="default"/>
          <w:pgSz w:w="12140" w:h="16990"/>
          <w:pgMar w:top="1444" w:right="1595" w:bottom="1651" w:left="1820" w:header="0" w:footer="1352" w:gutter="0"/>
          <w:cols w:equalWidth="0" w:num="1">
            <w:col w:w="8725"/>
          </w:cols>
        </w:sectPr>
      </w:pPr>
    </w:p>
    <w:p>
      <w:pPr>
        <w:spacing w:before="173" w:line="1220" w:lineRule="exact"/>
        <w:ind w:left="12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color w:val="FE2100"/>
          <w:spacing w:val="-44"/>
          <w:position w:val="22"/>
          <w:sz w:val="87"/>
          <w:szCs w:val="87"/>
        </w:rPr>
        <w:t>兴</w:t>
      </w:r>
      <w:r>
        <w:rPr>
          <w:rFonts w:ascii="宋体" w:hAnsi="宋体" w:eastAsia="宋体" w:cs="宋体"/>
          <w:color w:val="FE2100"/>
          <w:spacing w:val="-81"/>
          <w:position w:val="22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44"/>
          <w:position w:val="22"/>
          <w:sz w:val="87"/>
          <w:szCs w:val="87"/>
        </w:rPr>
        <w:t>安</w:t>
      </w:r>
      <w:r>
        <w:rPr>
          <w:rFonts w:ascii="宋体" w:hAnsi="宋体" w:eastAsia="宋体" w:cs="宋体"/>
          <w:color w:val="FE2100"/>
          <w:spacing w:val="-99"/>
          <w:position w:val="22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44"/>
          <w:position w:val="22"/>
          <w:sz w:val="87"/>
          <w:szCs w:val="87"/>
        </w:rPr>
        <w:t>盟</w:t>
      </w:r>
      <w:r>
        <w:rPr>
          <w:rFonts w:ascii="宋体" w:hAnsi="宋体" w:eastAsia="宋体" w:cs="宋体"/>
          <w:color w:val="FE2100"/>
          <w:spacing w:val="-95"/>
          <w:position w:val="22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44"/>
          <w:position w:val="22"/>
          <w:sz w:val="87"/>
          <w:szCs w:val="87"/>
        </w:rPr>
        <w:t>财</w:t>
      </w:r>
      <w:r>
        <w:rPr>
          <w:rFonts w:ascii="宋体" w:hAnsi="宋体" w:eastAsia="宋体" w:cs="宋体"/>
          <w:color w:val="FE2100"/>
          <w:spacing w:val="-101"/>
          <w:position w:val="22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44"/>
          <w:position w:val="22"/>
          <w:sz w:val="87"/>
          <w:szCs w:val="87"/>
        </w:rPr>
        <w:t>政</w:t>
      </w:r>
    </w:p>
    <w:p>
      <w:pPr>
        <w:spacing w:before="3" w:line="220" w:lineRule="auto"/>
        <w:ind w:left="12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color w:val="FE2100"/>
          <w:spacing w:val="-53"/>
          <w:sz w:val="87"/>
          <w:szCs w:val="87"/>
        </w:rPr>
        <w:t>兴</w:t>
      </w:r>
      <w:r>
        <w:rPr>
          <w:rFonts w:ascii="宋体" w:hAnsi="宋体" w:eastAsia="宋体" w:cs="宋体"/>
          <w:color w:val="FE2100"/>
          <w:spacing w:val="-79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53"/>
          <w:sz w:val="87"/>
          <w:szCs w:val="87"/>
        </w:rPr>
        <w:t>安</w:t>
      </w:r>
      <w:r>
        <w:rPr>
          <w:rFonts w:ascii="宋体" w:hAnsi="宋体" w:eastAsia="宋体" w:cs="宋体"/>
          <w:color w:val="FE2100"/>
          <w:spacing w:val="-98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53"/>
          <w:sz w:val="87"/>
          <w:szCs w:val="87"/>
        </w:rPr>
        <w:t>盟</w:t>
      </w:r>
      <w:r>
        <w:rPr>
          <w:rFonts w:ascii="宋体" w:hAnsi="宋体" w:eastAsia="宋体" w:cs="宋体"/>
          <w:color w:val="FE2100"/>
          <w:spacing w:val="-53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53"/>
          <w:sz w:val="87"/>
          <w:szCs w:val="87"/>
        </w:rPr>
        <w:t>民</w:t>
      </w:r>
      <w:r>
        <w:rPr>
          <w:rFonts w:ascii="宋体" w:hAnsi="宋体" w:eastAsia="宋体" w:cs="宋体"/>
          <w:color w:val="FE2100"/>
          <w:spacing w:val="-101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FE2100"/>
          <w:spacing w:val="-53"/>
          <w:sz w:val="87"/>
          <w:szCs w:val="87"/>
        </w:rPr>
        <w:t>政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11" w:line="189" w:lineRule="auto"/>
        <w:ind w:left="2980"/>
      </w:pPr>
      <w:r>
        <w:rPr>
          <w:spacing w:val="-44"/>
        </w:rPr>
        <w:t>兴财社〔2023〕174号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2" w:line="1220" w:lineRule="exact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color w:val="FE2100"/>
          <w:spacing w:val="-10"/>
          <w:position w:val="25"/>
          <w:sz w:val="87"/>
          <w:szCs w:val="87"/>
        </w:rPr>
        <w:t>局</w:t>
      </w:r>
    </w:p>
    <w:p>
      <w:pPr>
        <w:spacing w:before="3" w:line="220" w:lineRule="auto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color w:val="FE2100"/>
          <w:spacing w:val="-10"/>
          <w:sz w:val="87"/>
          <w:szCs w:val="87"/>
        </w:rPr>
        <w:t>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280" w:line="219" w:lineRule="auto"/>
        <w:jc w:val="right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b/>
          <w:bCs/>
          <w:color w:val="FC2100"/>
          <w:spacing w:val="57"/>
          <w:sz w:val="86"/>
          <w:szCs w:val="86"/>
        </w:rPr>
        <w:t>文件</w:t>
      </w:r>
    </w:p>
    <w:p>
      <w:pPr>
        <w:spacing w:line="219" w:lineRule="auto"/>
        <w:rPr>
          <w:rFonts w:ascii="宋体" w:hAnsi="宋体" w:eastAsia="宋体" w:cs="宋体"/>
          <w:sz w:val="86"/>
          <w:szCs w:val="86"/>
        </w:rPr>
        <w:sectPr>
          <w:type w:val="continuous"/>
          <w:pgSz w:w="12140" w:h="16990"/>
          <w:pgMar w:top="1444" w:right="1595" w:bottom="1651" w:left="1820" w:header="0" w:footer="1352" w:gutter="0"/>
          <w:cols w:equalWidth="0" w:num="3">
            <w:col w:w="5771" w:space="100"/>
            <w:col w:w="902" w:space="100"/>
            <w:col w:w="1853"/>
          </w:cols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60" w:lineRule="exact"/>
        <w:ind w:firstLine="80"/>
      </w:pPr>
      <w:r>
        <w:rPr>
          <w:position w:val="-1"/>
        </w:rPr>
        <w:drawing>
          <wp:inline distT="0" distB="0" distL="0" distR="0">
            <wp:extent cx="54603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984" cy="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46" w:line="229" w:lineRule="auto"/>
        <w:ind w:left="1525" w:right="1172" w:hanging="4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关于提前下达2024年中央财政困难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5"/>
          <w:szCs w:val="45"/>
        </w:rPr>
        <w:t>群众救助补助资金预算的通知</w:t>
      </w:r>
    </w:p>
    <w:p>
      <w:pPr>
        <w:spacing w:line="431" w:lineRule="auto"/>
        <w:rPr>
          <w:rFonts w:ascii="Arial"/>
          <w:sz w:val="21"/>
        </w:rPr>
      </w:pPr>
    </w:p>
    <w:p>
      <w:pPr>
        <w:pStyle w:val="2"/>
        <w:spacing w:before="112" w:line="183" w:lineRule="auto"/>
      </w:pPr>
      <w:r>
        <w:rPr>
          <w:spacing w:val="-36"/>
        </w:rPr>
        <w:t>各旗县市财政局、民政局：</w:t>
      </w:r>
    </w:p>
    <w:p>
      <w:pPr>
        <w:pStyle w:val="2"/>
        <w:spacing w:before="8" w:line="184" w:lineRule="auto"/>
        <w:ind w:right="141" w:firstLine="640"/>
      </w:pPr>
      <w:r>
        <w:rPr>
          <w:spacing w:val="-41"/>
        </w:rPr>
        <w:t>为做好困难群众救助工作，提高预算完整性，加快支出进度</w:t>
      </w:r>
      <w:r>
        <w:t xml:space="preserve">  </w:t>
      </w:r>
      <w:r>
        <w:rPr>
          <w:spacing w:val="-21"/>
        </w:rPr>
        <w:t>根据《内蒙古自治区财政厅民政厅关于提前下达2024年中央财</w:t>
      </w:r>
      <w:r>
        <w:rPr>
          <w:spacing w:val="4"/>
        </w:rPr>
        <w:t xml:space="preserve"> </w:t>
      </w:r>
      <w:r>
        <w:rPr>
          <w:spacing w:val="-28"/>
        </w:rPr>
        <w:t>政困难群众救助补助资金预算的通知》(内财社[2023]1676号)文</w:t>
      </w:r>
      <w:r>
        <w:rPr>
          <w:spacing w:val="4"/>
        </w:rPr>
        <w:t xml:space="preserve"> </w:t>
      </w:r>
      <w:r>
        <w:rPr>
          <w:spacing w:val="-15"/>
        </w:rPr>
        <w:t>件精神，现将2024年中央财政困难群众救助补助预算指</w:t>
      </w:r>
      <w:r>
        <w:rPr>
          <w:spacing w:val="-16"/>
        </w:rPr>
        <w:t>标(项</w:t>
      </w:r>
      <w:r>
        <w:t xml:space="preserve"> </w:t>
      </w:r>
      <w:r>
        <w:rPr>
          <w:spacing w:val="-32"/>
        </w:rPr>
        <w:t>目</w:t>
      </w:r>
      <w:r>
        <w:rPr>
          <w:spacing w:val="-33"/>
        </w:rPr>
        <w:t xml:space="preserve"> </w:t>
      </w:r>
      <w:r>
        <w:rPr>
          <w:spacing w:val="-32"/>
        </w:rPr>
        <w:t>名</w:t>
      </w:r>
      <w:r>
        <w:rPr>
          <w:spacing w:val="-48"/>
        </w:rPr>
        <w:t xml:space="preserve"> </w:t>
      </w:r>
      <w:r>
        <w:rPr>
          <w:spacing w:val="-32"/>
        </w:rPr>
        <w:t>称 ：</w:t>
      </w:r>
      <w:r>
        <w:rPr>
          <w:spacing w:val="-66"/>
        </w:rPr>
        <w:t xml:space="preserve"> </w:t>
      </w:r>
      <w:r>
        <w:rPr>
          <w:spacing w:val="-32"/>
        </w:rPr>
        <w:t>困</w:t>
      </w:r>
      <w:r>
        <w:rPr>
          <w:spacing w:val="-49"/>
        </w:rPr>
        <w:t xml:space="preserve"> </w:t>
      </w:r>
      <w:r>
        <w:rPr>
          <w:spacing w:val="-32"/>
        </w:rPr>
        <w:t>难</w:t>
      </w:r>
      <w:r>
        <w:rPr>
          <w:spacing w:val="-51"/>
        </w:rPr>
        <w:t xml:space="preserve"> </w:t>
      </w:r>
      <w:r>
        <w:rPr>
          <w:spacing w:val="-32"/>
        </w:rPr>
        <w:t>群</w:t>
      </w:r>
      <w:r>
        <w:rPr>
          <w:spacing w:val="-46"/>
        </w:rPr>
        <w:t xml:space="preserve"> </w:t>
      </w:r>
      <w:r>
        <w:rPr>
          <w:spacing w:val="-32"/>
        </w:rPr>
        <w:t>众</w:t>
      </w:r>
      <w:r>
        <w:rPr>
          <w:spacing w:val="-52"/>
        </w:rPr>
        <w:t xml:space="preserve"> </w:t>
      </w:r>
      <w:r>
        <w:rPr>
          <w:spacing w:val="-32"/>
        </w:rPr>
        <w:t>救</w:t>
      </w:r>
      <w:r>
        <w:rPr>
          <w:spacing w:val="-51"/>
        </w:rPr>
        <w:t xml:space="preserve"> </w:t>
      </w:r>
      <w:r>
        <w:rPr>
          <w:spacing w:val="-32"/>
        </w:rPr>
        <w:t>助</w:t>
      </w:r>
      <w:r>
        <w:rPr>
          <w:spacing w:val="91"/>
        </w:rPr>
        <w:t xml:space="preserve"> </w:t>
      </w:r>
      <w:r>
        <w:rPr>
          <w:spacing w:val="-32"/>
        </w:rPr>
        <w:t>补</w:t>
      </w:r>
      <w:r>
        <w:rPr>
          <w:spacing w:val="-66"/>
        </w:rPr>
        <w:t xml:space="preserve"> </w:t>
      </w:r>
      <w:r>
        <w:rPr>
          <w:spacing w:val="-32"/>
        </w:rPr>
        <w:t>助</w:t>
      </w:r>
      <w:r>
        <w:rPr>
          <w:spacing w:val="-48"/>
        </w:rPr>
        <w:t xml:space="preserve"> </w:t>
      </w:r>
      <w:r>
        <w:rPr>
          <w:spacing w:val="-32"/>
        </w:rPr>
        <w:t>资</w:t>
      </w:r>
      <w:r>
        <w:rPr>
          <w:spacing w:val="-65"/>
        </w:rPr>
        <w:t xml:space="preserve"> </w:t>
      </w:r>
      <w:r>
        <w:rPr>
          <w:spacing w:val="-32"/>
        </w:rPr>
        <w:t>金</w:t>
      </w:r>
      <w:r>
        <w:rPr>
          <w:spacing w:val="-41"/>
        </w:rPr>
        <w:t xml:space="preserve"> </w:t>
      </w:r>
      <w:r>
        <w:rPr>
          <w:spacing w:val="-32"/>
        </w:rPr>
        <w:t>，</w:t>
      </w:r>
      <w:r>
        <w:rPr>
          <w:spacing w:val="-63"/>
        </w:rPr>
        <w:t xml:space="preserve"> </w:t>
      </w:r>
      <w:r>
        <w:rPr>
          <w:spacing w:val="-32"/>
        </w:rPr>
        <w:t>项 目</w:t>
      </w:r>
      <w:r>
        <w:rPr>
          <w:spacing w:val="-58"/>
        </w:rPr>
        <w:t xml:space="preserve"> </w:t>
      </w:r>
      <w:r>
        <w:rPr>
          <w:spacing w:val="-32"/>
        </w:rPr>
        <w:t>代</w:t>
      </w:r>
      <w:r>
        <w:rPr>
          <w:spacing w:val="-66"/>
        </w:rPr>
        <w:t xml:space="preserve"> </w:t>
      </w:r>
      <w:r>
        <w:rPr>
          <w:spacing w:val="-32"/>
        </w:rPr>
        <w:t>码 ：</w:t>
      </w:r>
      <w:r>
        <w:t xml:space="preserve"> </w:t>
      </w:r>
      <w:r>
        <w:rPr>
          <w:spacing w:val="-11"/>
        </w:rPr>
        <w:t>10000017Z175080010001)提前下达给你们(详见附表),并就有</w:t>
      </w:r>
      <w:r>
        <w:rPr>
          <w:spacing w:val="1"/>
        </w:rPr>
        <w:t xml:space="preserve"> </w:t>
      </w:r>
      <w:r>
        <w:rPr>
          <w:spacing w:val="-40"/>
        </w:rPr>
        <w:t>关事宜通知如下：</w:t>
      </w:r>
    </w:p>
    <w:p>
      <w:pPr>
        <w:pStyle w:val="2"/>
        <w:spacing w:before="7" w:line="185" w:lineRule="auto"/>
        <w:ind w:right="139" w:firstLine="640"/>
      </w:pPr>
      <w:r>
        <w:rPr>
          <w:spacing w:val="-35"/>
        </w:rPr>
        <w:t>一、此次下达的补助资金统筹用于城乡低保、特困人员救助</w:t>
      </w:r>
      <w:r>
        <w:rPr>
          <w:spacing w:val="5"/>
        </w:rPr>
        <w:t xml:space="preserve"> </w:t>
      </w:r>
      <w:r>
        <w:rPr>
          <w:spacing w:val="-31"/>
        </w:rPr>
        <w:t>供养、临时救助、流浪乞讨人员救助(含农村牧区留守、困境儿</w:t>
      </w:r>
      <w:r>
        <w:rPr>
          <w:spacing w:val="18"/>
        </w:rPr>
        <w:t xml:space="preserve"> </w:t>
      </w:r>
      <w:r>
        <w:rPr>
          <w:spacing w:val="-34"/>
        </w:rPr>
        <w:t>童、流浪乞讨儿童的应急处置、救助帮扶、监护支持、精神关爱</w:t>
      </w:r>
      <w:r>
        <w:rPr>
          <w:spacing w:val="8"/>
        </w:rPr>
        <w:t xml:space="preserve"> </w:t>
      </w:r>
      <w:r>
        <w:rPr>
          <w:spacing w:val="-15"/>
        </w:rPr>
        <w:t>等未成年人社会保护支出)、孤儿(含艾滋病病毒</w:t>
      </w:r>
      <w:r>
        <w:rPr>
          <w:spacing w:val="-16"/>
        </w:rPr>
        <w:t>感染儿童)和</w:t>
      </w:r>
      <w:r>
        <w:t xml:space="preserve"> </w:t>
      </w:r>
      <w:r>
        <w:rPr>
          <w:spacing w:val="-35"/>
        </w:rPr>
        <w:t>事实无人托养儿童基本生活保障等支出。资金使用后按支出方向</w:t>
      </w:r>
      <w:r>
        <w:rPr>
          <w:spacing w:val="10"/>
        </w:rPr>
        <w:t xml:space="preserve"> </w:t>
      </w:r>
      <w:r>
        <w:rPr>
          <w:spacing w:val="-34"/>
        </w:rPr>
        <w:t>单独记账，分别核算。</w:t>
      </w:r>
    </w:p>
    <w:p>
      <w:pPr>
        <w:pStyle w:val="2"/>
        <w:spacing w:line="188" w:lineRule="auto"/>
        <w:ind w:right="109" w:firstLine="640"/>
      </w:pPr>
      <w:r>
        <w:rPr>
          <w:spacing w:val="-34"/>
        </w:rPr>
        <w:t>二、此次下达的补助资金列入直达资金管理，直达资金标识</w:t>
      </w:r>
      <w:r>
        <w:rPr>
          <w:spacing w:val="18"/>
        </w:rPr>
        <w:t xml:space="preserve"> </w:t>
      </w:r>
      <w:r>
        <w:rPr>
          <w:spacing w:val="-34"/>
        </w:rPr>
        <w:t>贯穿资金分配、拨付、使用等整个环节，且保持</w:t>
      </w:r>
      <w:r>
        <w:rPr>
          <w:spacing w:val="-35"/>
        </w:rPr>
        <w:t>不变。各地要严</w:t>
      </w:r>
      <w:r>
        <w:t xml:space="preserve"> </w:t>
      </w:r>
      <w:r>
        <w:rPr>
          <w:spacing w:val="-35"/>
        </w:rPr>
        <w:t>格按照直达资金管理规定，切实加快预算执行，强化数据管</w:t>
      </w:r>
      <w:r>
        <w:rPr>
          <w:spacing w:val="-36"/>
        </w:rPr>
        <w:t>理，</w:t>
      </w:r>
      <w:r>
        <w:t xml:space="preserve"> </w:t>
      </w:r>
      <w:r>
        <w:rPr>
          <w:spacing w:val="-33"/>
        </w:rPr>
        <w:t>努力推动形成上下联动、协同有序的直达资</w:t>
      </w:r>
      <w:r>
        <w:rPr>
          <w:spacing w:val="-34"/>
        </w:rPr>
        <w:t>金管理工作机制；要</w:t>
      </w:r>
    </w:p>
    <w:p>
      <w:pPr>
        <w:spacing w:line="188" w:lineRule="auto"/>
        <w:sectPr>
          <w:type w:val="continuous"/>
          <w:pgSz w:w="12140" w:h="16990"/>
          <w:pgMar w:top="1444" w:right="1595" w:bottom="1651" w:left="1820" w:header="0" w:footer="1352" w:gutter="0"/>
          <w:cols w:equalWidth="0" w:num="1">
            <w:col w:w="8725"/>
          </w:cols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90pt;margin-top:769.65pt;height:12.2pt;width:36.9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3" w:lineRule="exact"/>
                    <w:jc w:val="right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21"/>
                      <w:w w:val="96"/>
                      <w:position w:val="-5"/>
                      <w:sz w:val="30"/>
                      <w:szCs w:val="30"/>
                    </w:rPr>
                    <w:t>—</w:t>
                  </w:r>
                  <w:r>
                    <w:rPr>
                      <w:rFonts w:ascii="宋体" w:hAnsi="宋体" w:eastAsia="宋体" w:cs="宋体"/>
                      <w:position w:val="-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w w:val="96"/>
                      <w:position w:val="-5"/>
                      <w:sz w:val="30"/>
                      <w:szCs w:val="30"/>
                    </w:rPr>
                    <w:t>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1460500</wp:posOffset>
            </wp:positionH>
            <wp:positionV relativeFrom="page">
              <wp:posOffset>6965950</wp:posOffset>
            </wp:positionV>
            <wp:extent cx="1600200" cy="1600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25" cy="160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7" w:line="218" w:lineRule="auto"/>
        <w:ind w:left="6" w:right="267"/>
        <w:rPr>
          <w:sz w:val="30"/>
          <w:szCs w:val="30"/>
        </w:rPr>
      </w:pPr>
      <w:r>
        <w:rPr>
          <w:spacing w:val="5"/>
          <w:sz w:val="30"/>
          <w:szCs w:val="30"/>
        </w:rPr>
        <w:t>逐级落实资金监控主体责任，优先保障民生支出重</w:t>
      </w:r>
      <w:r>
        <w:rPr>
          <w:spacing w:val="4"/>
          <w:sz w:val="30"/>
          <w:szCs w:val="30"/>
        </w:rPr>
        <w:t>点任务，全面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彰显资金直达机制的制度优势。</w:t>
      </w:r>
    </w:p>
    <w:p>
      <w:pPr>
        <w:pStyle w:val="2"/>
        <w:spacing w:before="4" w:line="210" w:lineRule="auto"/>
        <w:ind w:left="6" w:right="254" w:firstLine="659"/>
        <w:rPr>
          <w:sz w:val="30"/>
          <w:szCs w:val="30"/>
        </w:rPr>
      </w:pPr>
      <w:r>
        <w:rPr>
          <w:sz w:val="30"/>
          <w:szCs w:val="30"/>
        </w:rPr>
        <w:t>三、</w:t>
      </w:r>
      <w:r>
        <w:rPr>
          <w:spacing w:val="-63"/>
          <w:sz w:val="30"/>
          <w:szCs w:val="30"/>
        </w:rPr>
        <w:t xml:space="preserve"> </w:t>
      </w:r>
      <w:r>
        <w:rPr>
          <w:sz w:val="30"/>
          <w:szCs w:val="30"/>
        </w:rPr>
        <w:t xml:space="preserve">各地在下达该项资金时，应单独下达预算指标文件，并 </w:t>
      </w:r>
      <w:r>
        <w:rPr>
          <w:spacing w:val="5"/>
          <w:sz w:val="30"/>
          <w:szCs w:val="30"/>
        </w:rPr>
        <w:t>保持中央直达资金标识不变。及时在指标管理系</w:t>
      </w:r>
      <w:r>
        <w:rPr>
          <w:spacing w:val="4"/>
          <w:sz w:val="30"/>
          <w:szCs w:val="30"/>
        </w:rPr>
        <w:t>统中登录有关指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标和直达资金标识，导入直达资金监控系统，确保账目清晰、流</w:t>
      </w:r>
      <w:r>
        <w:rPr>
          <w:spacing w:val="18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向明确。财政部门将中央直达资金分解落实到单位和具体项目</w:t>
      </w:r>
      <w:r>
        <w:rPr>
          <w:spacing w:val="1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时，对资金来源既包括中央直达资金又包括地方对应安排</w:t>
      </w:r>
      <w:r>
        <w:rPr>
          <w:spacing w:val="15"/>
          <w:sz w:val="30"/>
          <w:szCs w:val="30"/>
        </w:rPr>
        <w:t>资金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的，应在预算指标文件、指标管理系统可按资金明细来源分别列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示和登录预算指标。</w:t>
      </w:r>
    </w:p>
    <w:p>
      <w:pPr>
        <w:pStyle w:val="2"/>
        <w:spacing w:before="32" w:line="210" w:lineRule="auto"/>
        <w:ind w:left="6" w:right="223" w:firstLine="659"/>
        <w:rPr>
          <w:sz w:val="30"/>
          <w:szCs w:val="30"/>
        </w:rPr>
      </w:pPr>
      <w:r>
        <w:rPr>
          <w:sz w:val="30"/>
          <w:szCs w:val="30"/>
        </w:rPr>
        <w:t>四</w:t>
      </w:r>
      <w:r>
        <w:rPr>
          <w:spacing w:val="-26"/>
          <w:sz w:val="30"/>
          <w:szCs w:val="30"/>
        </w:rPr>
        <w:t xml:space="preserve"> </w:t>
      </w:r>
      <w:r>
        <w:rPr>
          <w:sz w:val="30"/>
          <w:szCs w:val="30"/>
        </w:rPr>
        <w:t>、保障困难群众的基本生活，是做好基本民</w:t>
      </w:r>
      <w:r>
        <w:rPr>
          <w:spacing w:val="-1"/>
          <w:sz w:val="30"/>
          <w:szCs w:val="30"/>
        </w:rPr>
        <w:t>生保障工作的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重中之重。各地要按照《财政部关于提前通知转移支付指标有关</w:t>
      </w:r>
      <w:r>
        <w:rPr>
          <w:spacing w:val="8"/>
          <w:sz w:val="30"/>
          <w:szCs w:val="30"/>
        </w:rPr>
        <w:t xml:space="preserve"> 问题的通知》(财预[2010]409号)及自治区有关要求，做好困难</w:t>
      </w:r>
      <w:r>
        <w:rPr>
          <w:spacing w:val="1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群众救助资金预算编制、指标安排等工作。</w:t>
      </w:r>
      <w:r>
        <w:rPr>
          <w:spacing w:val="4"/>
          <w:sz w:val="30"/>
          <w:szCs w:val="30"/>
        </w:rPr>
        <w:t>各地财政部门和民政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部门要密切配合、锐意创新、开拓进取，推动困难</w:t>
      </w:r>
      <w:r>
        <w:rPr>
          <w:spacing w:val="4"/>
          <w:sz w:val="30"/>
          <w:szCs w:val="30"/>
        </w:rPr>
        <w:t>群众救助工作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不断向前发展；要全面加强补助资金的使用管理，切实做好绩效</w:t>
      </w:r>
      <w:r>
        <w:rPr>
          <w:spacing w:val="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目标设置、绩效运行监控、绩效评价及结果运用等工作，努力提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升资金使用效益；要积极盘活存量资金，加大结余消</w:t>
      </w:r>
      <w:r>
        <w:rPr>
          <w:spacing w:val="4"/>
          <w:sz w:val="30"/>
          <w:szCs w:val="30"/>
        </w:rPr>
        <w:t>化和资源优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化整合的力度，全力把惠民生、解民忧的实事办早办好</w:t>
      </w:r>
      <w:r>
        <w:rPr>
          <w:spacing w:val="4"/>
          <w:sz w:val="30"/>
          <w:szCs w:val="30"/>
        </w:rPr>
        <w:t>，确保优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质高效完成国家和自治区确定的各项重点工作任务。</w:t>
      </w:r>
    </w:p>
    <w:p>
      <w:pPr>
        <w:pStyle w:val="2"/>
        <w:spacing w:before="6" w:line="209" w:lineRule="auto"/>
        <w:ind w:left="6" w:firstLine="659"/>
        <w:rPr>
          <w:sz w:val="30"/>
          <w:szCs w:val="30"/>
        </w:rPr>
      </w:pPr>
      <w:r>
        <w:rPr>
          <w:spacing w:val="4"/>
          <w:sz w:val="30"/>
          <w:szCs w:val="30"/>
        </w:rPr>
        <w:t>五、本次下达的补助资金收入请列入《2024政府收支分类科</w:t>
      </w:r>
      <w:r>
        <w:rPr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目》第1100248项“社会保障和就业共同财政事权转移</w:t>
      </w:r>
      <w:r>
        <w:rPr>
          <w:spacing w:val="7"/>
          <w:sz w:val="30"/>
          <w:szCs w:val="30"/>
        </w:rPr>
        <w:t>支付收入”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 xml:space="preserve">科目，支出请根据附表列入相关科目。待2024年预算年度开始  </w:t>
      </w:r>
      <w:r>
        <w:rPr>
          <w:spacing w:val="-3"/>
          <w:sz w:val="30"/>
          <w:szCs w:val="30"/>
        </w:rPr>
        <w:t>后，按程序拨付使用。</w:t>
      </w:r>
    </w:p>
    <w:p>
      <w:pPr>
        <w:pStyle w:val="2"/>
        <w:spacing w:before="1" w:line="221" w:lineRule="auto"/>
        <w:ind w:left="666"/>
        <w:rPr>
          <w:sz w:val="30"/>
          <w:szCs w:val="30"/>
        </w:rPr>
      </w:pPr>
      <w:r>
        <w:rPr>
          <w:spacing w:val="-14"/>
          <w:sz w:val="30"/>
          <w:szCs w:val="30"/>
        </w:rPr>
        <w:t>附件：提前下达2024年中央财政困难群众救助补</w:t>
      </w:r>
      <w:r>
        <w:rPr>
          <w:spacing w:val="-15"/>
          <w:sz w:val="30"/>
          <w:szCs w:val="30"/>
        </w:rPr>
        <w:t>助资金分配表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20320</wp:posOffset>
            </wp:positionV>
            <wp:extent cx="1581150" cy="1562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85" cy="15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8" w:line="231" w:lineRule="auto"/>
        <w:ind w:left="4616" w:right="1654" w:firstLine="540"/>
        <w:rPr>
          <w:sz w:val="30"/>
          <w:szCs w:val="30"/>
        </w:rPr>
      </w:pPr>
      <w:r>
        <w:pict>
          <v:shape id="_x0000_s1027" o:spid="_x0000_s1027" o:spt="202" type="#_x0000_t202" style="position:absolute;left:0pt;margin-left:42.8pt;margin-top:4.4pt;height:20.15pt;width:90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-4"/>
                      <w:sz w:val="30"/>
                      <w:szCs w:val="30"/>
                    </w:rPr>
                    <w:t>兴安盟财政局</w:t>
                  </w:r>
                </w:p>
              </w:txbxContent>
            </v:textbox>
          </v:shape>
        </w:pict>
      </w:r>
      <w:r>
        <w:rPr>
          <w:spacing w:val="-5"/>
          <w:sz w:val="30"/>
          <w:szCs w:val="30"/>
        </w:rPr>
        <w:t>兴安盟民政局</w:t>
      </w:r>
      <w:r>
        <w:rPr>
          <w:sz w:val="30"/>
          <w:szCs w:val="30"/>
        </w:rPr>
        <w:t xml:space="preserve">  </w:t>
      </w:r>
      <w:r>
        <w:rPr>
          <w:spacing w:val="39"/>
          <w:sz w:val="30"/>
          <w:szCs w:val="30"/>
        </w:rPr>
        <w:t>2023年12月27日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10"/>
        <w:rPr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信息公开选项：</w:t>
      </w:r>
      <w:r>
        <w:rPr>
          <w:spacing w:val="1"/>
          <w:sz w:val="30"/>
          <w:szCs w:val="30"/>
        </w:rPr>
        <w:t>依申请公开</w:t>
      </w:r>
    </w:p>
    <w:p>
      <w:pPr>
        <w:spacing w:line="16" w:lineRule="exact"/>
      </w:pPr>
    </w:p>
    <w:tbl>
      <w:tblPr>
        <w:tblStyle w:val="5"/>
        <w:tblW w:w="8580" w:type="dxa"/>
        <w:tblInd w:w="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3"/>
        <w:gridCol w:w="45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4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28" w:line="223" w:lineRule="auto"/>
              <w:ind w:left="37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兴安盟财政局办公室</w:t>
            </w:r>
          </w:p>
        </w:tc>
        <w:tc>
          <w:tcPr>
            <w:tcW w:w="453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28" w:line="222" w:lineRule="auto"/>
              <w:ind w:left="10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>2023年12月27日印发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090" w:h="16950"/>
          <w:pgMar w:top="1440" w:right="1467" w:bottom="1630" w:left="1813" w:header="0" w:footer="133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9" w:lineRule="auto"/>
        <w:ind w:left="40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提前下达2024年中央财政困难群众救助补助资金分配表</w:t>
      </w:r>
    </w:p>
    <w:p>
      <w:pPr>
        <w:spacing w:before="46"/>
      </w:pPr>
    </w:p>
    <w:p>
      <w:pPr>
        <w:sectPr>
          <w:footerReference r:id="rId7" w:type="default"/>
          <w:pgSz w:w="16840" w:h="11920"/>
          <w:pgMar w:top="1013" w:right="394" w:bottom="400" w:left="675" w:header="0" w:footer="0" w:gutter="0"/>
          <w:cols w:equalWidth="0" w:num="1">
            <w:col w:w="15771"/>
          </w:cols>
        </w:sectPr>
      </w:pPr>
    </w:p>
    <w:p>
      <w:pPr>
        <w:spacing w:before="41" w:line="203" w:lineRule="auto"/>
        <w:ind w:left="9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8"/>
          <w:sz w:val="21"/>
          <w:szCs w:val="21"/>
        </w:rPr>
        <w:t>兴财社[2023]174号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6840" w:h="11920"/>
          <w:pgMar w:top="1013" w:right="394" w:bottom="400" w:left="675" w:header="0" w:footer="0" w:gutter="0"/>
          <w:cols w:equalWidth="0" w:num="2">
            <w:col w:w="13955" w:space="100"/>
            <w:col w:w="1716"/>
          </w:cols>
        </w:sectPr>
      </w:pPr>
    </w:p>
    <w:p>
      <w:pPr>
        <w:spacing w:line="155" w:lineRule="exact"/>
      </w:pPr>
    </w:p>
    <w:tbl>
      <w:tblPr>
        <w:tblStyle w:val="5"/>
        <w:tblW w:w="15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479"/>
        <w:gridCol w:w="2119"/>
        <w:gridCol w:w="2059"/>
        <w:gridCol w:w="2358"/>
        <w:gridCol w:w="2019"/>
        <w:gridCol w:w="1279"/>
        <w:gridCol w:w="134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9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725"/>
            </w:pPr>
            <w:r>
              <w:rPr>
                <w:spacing w:val="9"/>
              </w:rPr>
              <w:t>地区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4" w:line="237" w:lineRule="auto"/>
              <w:ind w:left="340" w:right="196" w:hanging="159"/>
            </w:pPr>
            <w:r>
              <w:rPr>
                <w:spacing w:val="-2"/>
              </w:rPr>
              <w:t>城乡低保金</w:t>
            </w:r>
            <w:r>
              <w:t xml:space="preserve"> </w:t>
            </w:r>
            <w:r>
              <w:rPr>
                <w:spacing w:val="-2"/>
              </w:rPr>
              <w:t>2081901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14" w:line="237" w:lineRule="auto"/>
              <w:ind w:left="662" w:right="53" w:hanging="600"/>
            </w:pPr>
            <w:r>
              <w:rPr>
                <w:spacing w:val="1"/>
              </w:rPr>
              <w:t>城乡特困基本生活费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2082101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3" w:line="229" w:lineRule="auto"/>
              <w:ind w:left="633" w:right="22" w:hanging="600"/>
            </w:pPr>
            <w:r>
              <w:rPr>
                <w:spacing w:val="1"/>
              </w:rPr>
              <w:t>城乡特困照料护理费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2082101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94" w:line="219" w:lineRule="auto"/>
              <w:ind w:left="123"/>
            </w:pPr>
            <w:r>
              <w:rPr>
                <w:spacing w:val="-1"/>
              </w:rPr>
              <w:t>流浪乞讨(未成年人保</w:t>
            </w:r>
          </w:p>
          <w:p>
            <w:pPr>
              <w:pStyle w:val="6"/>
              <w:spacing w:before="17" w:line="219" w:lineRule="auto"/>
              <w:ind w:left="233"/>
            </w:pPr>
            <w:r>
              <w:rPr>
                <w:spacing w:val="-1"/>
              </w:rPr>
              <w:t>护社会支持)救助金</w:t>
            </w:r>
          </w:p>
          <w:p>
            <w:pPr>
              <w:pStyle w:val="6"/>
              <w:spacing w:before="67" w:line="162" w:lineRule="exact"/>
              <w:ind w:left="783"/>
            </w:pPr>
            <w:r>
              <w:rPr>
                <w:spacing w:val="-2"/>
                <w:position w:val="-3"/>
              </w:rPr>
              <w:t>2082002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74" w:line="219" w:lineRule="auto"/>
              <w:ind w:left="125"/>
            </w:pPr>
            <w:r>
              <w:rPr>
                <w:spacing w:val="-1"/>
              </w:rPr>
              <w:t>事实无人抚养儿童</w:t>
            </w:r>
          </w:p>
          <w:p>
            <w:pPr>
              <w:pStyle w:val="6"/>
              <w:spacing w:before="37" w:line="219" w:lineRule="auto"/>
              <w:ind w:left="236"/>
            </w:pPr>
            <w:r>
              <w:rPr>
                <w:spacing w:val="-2"/>
              </w:rPr>
              <w:t>基本生活保障金</w:t>
            </w:r>
          </w:p>
          <w:p>
            <w:pPr>
              <w:pStyle w:val="6"/>
              <w:spacing w:before="66" w:line="163" w:lineRule="exact"/>
              <w:ind w:left="615"/>
            </w:pPr>
            <w:r>
              <w:rPr>
                <w:spacing w:val="-2"/>
                <w:position w:val="-3"/>
              </w:rPr>
              <w:t>2081001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3" w:line="233" w:lineRule="auto"/>
              <w:ind w:left="245" w:right="88" w:hanging="159"/>
            </w:pPr>
            <w:r>
              <w:rPr>
                <w:spacing w:val="-2"/>
              </w:rPr>
              <w:t>孤儿保障金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2081001</w:t>
            </w:r>
          </w:p>
        </w:tc>
        <w:tc>
          <w:tcPr>
            <w:tcW w:w="13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87"/>
            </w:pPr>
            <w:r>
              <w:rPr>
                <w:spacing w:val="-5"/>
              </w:rPr>
              <w:t>合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计</w:t>
            </w:r>
          </w:p>
        </w:tc>
        <w:tc>
          <w:tcPr>
            <w:tcW w:w="11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68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1" w:line="219" w:lineRule="auto"/>
              <w:ind w:left="65"/>
            </w:pPr>
            <w:r>
              <w:rPr>
                <w:spacing w:val="1"/>
              </w:rPr>
              <w:t>兴安盟儿童福利院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16" w:line="184" w:lineRule="auto"/>
              <w:ind w:left="725"/>
            </w:pPr>
            <w:r>
              <w:rPr>
                <w:spacing w:val="-4"/>
              </w:rPr>
              <w:t>15.00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6" w:line="184" w:lineRule="auto"/>
              <w:ind w:left="356"/>
            </w:pPr>
            <w:r>
              <w:rPr>
                <w:spacing w:val="-4"/>
              </w:rPr>
              <w:t>10.00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17" w:line="183" w:lineRule="auto"/>
              <w:ind w:left="398"/>
            </w:pPr>
            <w:r>
              <w:rPr>
                <w:spacing w:val="-2"/>
              </w:rPr>
              <w:t>25.00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3" w:line="219" w:lineRule="auto"/>
              <w:ind w:left="394"/>
            </w:pPr>
            <w:r>
              <w:rPr>
                <w:spacing w:val="2"/>
              </w:rPr>
              <w:t>乌兰浩特市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19" w:line="183" w:lineRule="auto"/>
              <w:ind w:left="340"/>
            </w:pPr>
            <w:r>
              <w:rPr>
                <w:spacing w:val="-2"/>
              </w:rPr>
              <w:t>5359.00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19" w:line="183" w:lineRule="auto"/>
              <w:ind w:left="721"/>
            </w:pPr>
            <w:r>
              <w:rPr>
                <w:spacing w:val="-2"/>
              </w:rPr>
              <w:t>449.00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19" w:line="183" w:lineRule="auto"/>
              <w:ind w:left="742"/>
            </w:pPr>
            <w:r>
              <w:rPr>
                <w:spacing w:val="-3"/>
              </w:rPr>
              <w:t>70.00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19" w:line="183" w:lineRule="auto"/>
              <w:ind w:left="894"/>
            </w:pPr>
            <w:r>
              <w:rPr>
                <w:spacing w:val="-2"/>
              </w:rPr>
              <w:t>20.00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19" w:line="183" w:lineRule="auto"/>
              <w:ind w:left="725"/>
            </w:pPr>
            <w:r>
              <w:rPr>
                <w:spacing w:val="-2"/>
              </w:rPr>
              <w:t>28.00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8" w:line="184" w:lineRule="auto"/>
              <w:ind w:left="356"/>
            </w:pPr>
            <w:r>
              <w:rPr>
                <w:spacing w:val="-4"/>
              </w:rPr>
              <w:t>13.00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19" w:line="183" w:lineRule="auto"/>
              <w:ind w:left="288"/>
            </w:pPr>
            <w:r>
              <w:rPr>
                <w:spacing w:val="-2"/>
              </w:rPr>
              <w:t>5939.00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2" w:line="219" w:lineRule="auto"/>
              <w:ind w:left="505"/>
            </w:pPr>
            <w:r>
              <w:rPr>
                <w:spacing w:val="-2"/>
              </w:rPr>
              <w:t>科右前旗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0" w:line="183" w:lineRule="auto"/>
              <w:ind w:left="340"/>
            </w:pPr>
            <w:r>
              <w:rPr>
                <w:spacing w:val="-2"/>
              </w:rPr>
              <w:t>8863.00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19" w:line="184" w:lineRule="auto"/>
              <w:ind w:left="662"/>
            </w:pPr>
            <w:r>
              <w:rPr>
                <w:spacing w:val="-4"/>
              </w:rPr>
              <w:t>1136.00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19" w:line="184" w:lineRule="auto"/>
              <w:ind w:left="692"/>
            </w:pPr>
            <w:r>
              <w:rPr>
                <w:spacing w:val="-4"/>
              </w:rPr>
              <w:t>126.00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0" w:line="183" w:lineRule="auto"/>
              <w:ind w:left="954"/>
            </w:pPr>
            <w:r>
              <w:rPr>
                <w:spacing w:val="-2"/>
              </w:rPr>
              <w:t>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0" w:line="183" w:lineRule="auto"/>
              <w:ind w:left="725"/>
            </w:pPr>
            <w:r>
              <w:rPr>
                <w:spacing w:val="-2"/>
              </w:rPr>
              <w:t>62.00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9" w:line="184" w:lineRule="auto"/>
              <w:ind w:left="356"/>
            </w:pPr>
            <w:r>
              <w:rPr>
                <w:spacing w:val="-4"/>
              </w:rPr>
              <w:t>15.00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19" w:line="184" w:lineRule="auto"/>
              <w:ind w:left="227"/>
            </w:pPr>
            <w:r>
              <w:rPr>
                <w:spacing w:val="-3"/>
              </w:rPr>
              <w:t>10202.00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5" w:line="220" w:lineRule="auto"/>
              <w:ind w:left="615"/>
            </w:pPr>
            <w:r>
              <w:rPr>
                <w:spacing w:val="3"/>
              </w:rPr>
              <w:t>突泉县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1" w:line="183" w:lineRule="auto"/>
              <w:ind w:left="340"/>
            </w:pPr>
            <w:r>
              <w:rPr>
                <w:spacing w:val="-2"/>
              </w:rPr>
              <w:t>9048.00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20" w:line="184" w:lineRule="auto"/>
              <w:ind w:left="662"/>
            </w:pPr>
            <w:r>
              <w:rPr>
                <w:spacing w:val="-4"/>
              </w:rPr>
              <w:t>1215.00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1" w:line="183" w:lineRule="auto"/>
              <w:ind w:left="742"/>
            </w:pPr>
            <w:r>
              <w:rPr>
                <w:spacing w:val="-2"/>
              </w:rPr>
              <w:t>92.00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1" w:line="183" w:lineRule="auto"/>
              <w:ind w:left="894"/>
            </w:pPr>
            <w:r>
              <w:rPr>
                <w:spacing w:val="-2"/>
              </w:rPr>
              <w:t>85.00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1" w:line="183" w:lineRule="auto"/>
              <w:ind w:left="725"/>
            </w:pPr>
            <w:r>
              <w:rPr>
                <w:spacing w:val="-3"/>
              </w:rPr>
              <w:t>59.00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1" w:line="183" w:lineRule="auto"/>
              <w:ind w:left="417"/>
            </w:pPr>
            <w:r>
              <w:rPr>
                <w:spacing w:val="-2"/>
              </w:rPr>
              <w:t>9.00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0" w:line="184" w:lineRule="auto"/>
              <w:ind w:left="227"/>
            </w:pPr>
            <w:r>
              <w:rPr>
                <w:spacing w:val="-3"/>
              </w:rPr>
              <w:t>10508.00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6" w:line="219" w:lineRule="auto"/>
              <w:ind w:left="505"/>
            </w:pPr>
            <w:r>
              <w:rPr>
                <w:spacing w:val="-3"/>
              </w:rPr>
              <w:t>扎赉特旗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302" w:line="182" w:lineRule="auto"/>
              <w:ind w:left="290"/>
            </w:pPr>
            <w:r>
              <w:rPr>
                <w:spacing w:val="-3"/>
              </w:rPr>
              <w:t>11516.00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21" w:line="184" w:lineRule="auto"/>
              <w:ind w:left="662"/>
            </w:pPr>
            <w:r>
              <w:rPr>
                <w:spacing w:val="-4"/>
              </w:rPr>
              <w:t>1303.00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1" w:line="184" w:lineRule="auto"/>
              <w:ind w:left="692"/>
            </w:pPr>
            <w:r>
              <w:rPr>
                <w:spacing w:val="-4"/>
              </w:rPr>
              <w:t>118.00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2" w:line="183" w:lineRule="auto"/>
              <w:ind w:left="894"/>
            </w:pPr>
            <w:r>
              <w:rPr>
                <w:spacing w:val="-2"/>
              </w:rPr>
              <w:t>40.00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2" w:line="183" w:lineRule="auto"/>
              <w:ind w:left="725"/>
            </w:pPr>
            <w:r>
              <w:rPr>
                <w:spacing w:val="-3"/>
              </w:rPr>
              <w:t>73.00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1" w:line="184" w:lineRule="auto"/>
              <w:ind w:left="356"/>
            </w:pPr>
            <w:r>
              <w:rPr>
                <w:spacing w:val="-4"/>
              </w:rPr>
              <w:t>19.00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1" w:line="184" w:lineRule="auto"/>
              <w:ind w:left="227"/>
            </w:pPr>
            <w:r>
              <w:rPr>
                <w:spacing w:val="-3"/>
              </w:rPr>
              <w:t>13069.00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5" w:line="219" w:lineRule="auto"/>
              <w:ind w:left="505"/>
            </w:pPr>
            <w:r>
              <w:rPr>
                <w:spacing w:val="-2"/>
              </w:rPr>
              <w:t>科右中旗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3" w:line="183" w:lineRule="auto"/>
              <w:ind w:left="340"/>
            </w:pPr>
            <w:r>
              <w:rPr>
                <w:spacing w:val="-1"/>
              </w:rPr>
              <w:t>4643.00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23" w:line="183" w:lineRule="auto"/>
              <w:ind w:left="721"/>
            </w:pPr>
            <w:r>
              <w:rPr>
                <w:spacing w:val="-2"/>
              </w:rPr>
              <w:t>447.00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2" w:line="184" w:lineRule="auto"/>
              <w:ind w:left="692"/>
            </w:pPr>
            <w:r>
              <w:rPr>
                <w:spacing w:val="-4"/>
              </w:rPr>
              <w:t>102.00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3" w:line="183" w:lineRule="auto"/>
              <w:ind w:left="954"/>
            </w:pPr>
            <w:r>
              <w:rPr>
                <w:spacing w:val="-2"/>
              </w:rPr>
              <w:t>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3" w:line="183" w:lineRule="auto"/>
              <w:ind w:left="725"/>
            </w:pPr>
            <w:r>
              <w:rPr>
                <w:spacing w:val="-3"/>
              </w:rPr>
              <w:t>39.00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2" w:line="184" w:lineRule="auto"/>
              <w:ind w:left="356"/>
            </w:pPr>
            <w:r>
              <w:rPr>
                <w:spacing w:val="-4"/>
              </w:rPr>
              <w:t>15.00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3" w:line="183" w:lineRule="auto"/>
              <w:ind w:left="288"/>
            </w:pPr>
            <w:r>
              <w:rPr>
                <w:spacing w:val="-2"/>
              </w:rPr>
              <w:t>5246.00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8" w:line="219" w:lineRule="auto"/>
              <w:ind w:left="505"/>
            </w:pPr>
            <w:r>
              <w:rPr>
                <w:spacing w:val="3"/>
              </w:rPr>
              <w:t>阿尔山市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4" w:line="183" w:lineRule="auto"/>
              <w:ind w:left="400"/>
            </w:pPr>
            <w:r>
              <w:rPr>
                <w:spacing w:val="-2"/>
              </w:rPr>
              <w:t>588.00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24" w:line="183" w:lineRule="auto"/>
              <w:ind w:left="771"/>
            </w:pPr>
            <w:r>
              <w:rPr>
                <w:spacing w:val="-2"/>
              </w:rPr>
              <w:t>27.00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4" w:line="183" w:lineRule="auto"/>
              <w:ind w:left="802"/>
            </w:pPr>
            <w:r>
              <w:rPr>
                <w:spacing w:val="-3"/>
              </w:rPr>
              <w:t>2.00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4" w:line="183" w:lineRule="auto"/>
              <w:ind w:left="894"/>
            </w:pPr>
            <w:r>
              <w:rPr>
                <w:spacing w:val="-2"/>
              </w:rPr>
              <w:t>25.00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3" w:line="184" w:lineRule="auto"/>
              <w:ind w:left="725"/>
            </w:pPr>
            <w:r>
              <w:rPr>
                <w:spacing w:val="-4"/>
              </w:rPr>
              <w:t>10.00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3" w:line="184" w:lineRule="auto"/>
              <w:ind w:left="417"/>
            </w:pPr>
            <w:r>
              <w:rPr>
                <w:spacing w:val="-5"/>
              </w:rPr>
              <w:t>1.00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4" w:line="183" w:lineRule="auto"/>
              <w:ind w:left="338"/>
            </w:pPr>
            <w:r>
              <w:rPr>
                <w:spacing w:val="-2"/>
              </w:rPr>
              <w:t>653.00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70" w:line="221" w:lineRule="auto"/>
              <w:ind w:left="505"/>
            </w:pPr>
            <w:r>
              <w:rPr>
                <w:spacing w:val="-2"/>
              </w:rPr>
              <w:t>旗县小计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24" w:line="184" w:lineRule="auto"/>
              <w:ind w:left="290"/>
            </w:pPr>
            <w:r>
              <w:rPr>
                <w:spacing w:val="-1"/>
              </w:rPr>
              <w:t>40017.00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25" w:line="183" w:lineRule="auto"/>
              <w:ind w:left="662"/>
            </w:pPr>
            <w:r>
              <w:rPr>
                <w:spacing w:val="-1"/>
              </w:rPr>
              <w:t>4577.00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24" w:line="184" w:lineRule="auto"/>
              <w:ind w:left="692"/>
            </w:pPr>
            <w:r>
              <w:rPr>
                <w:spacing w:val="-2"/>
              </w:rPr>
              <w:t>510.00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24" w:line="184" w:lineRule="auto"/>
              <w:ind w:left="844"/>
            </w:pPr>
            <w:r>
              <w:rPr>
                <w:spacing w:val="-4"/>
              </w:rPr>
              <w:t>170.00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24" w:line="184" w:lineRule="auto"/>
              <w:ind w:left="675"/>
            </w:pPr>
            <w:r>
              <w:rPr>
                <w:spacing w:val="-2"/>
              </w:rPr>
              <w:t>271.00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5" w:line="183" w:lineRule="auto"/>
              <w:ind w:left="356"/>
            </w:pPr>
            <w:r>
              <w:rPr>
                <w:spacing w:val="-3"/>
              </w:rPr>
              <w:t>72.00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4" w:line="184" w:lineRule="auto"/>
              <w:ind w:left="227"/>
            </w:pPr>
            <w:r>
              <w:rPr>
                <w:spacing w:val="-1"/>
              </w:rPr>
              <w:t>45617.00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04" w:type="dxa"/>
            <w:vAlign w:val="top"/>
          </w:tcPr>
          <w:p>
            <w:pPr>
              <w:pStyle w:val="6"/>
              <w:spacing w:before="161" w:line="221" w:lineRule="auto"/>
              <w:ind w:left="615"/>
            </w:pPr>
            <w:r>
              <w:rPr>
                <w:spacing w:val="-5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15" w:line="184" w:lineRule="auto"/>
              <w:ind w:left="290"/>
            </w:pPr>
            <w:r>
              <w:rPr>
                <w:spacing w:val="-1"/>
              </w:rPr>
              <w:t>40017.00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16" w:line="183" w:lineRule="auto"/>
              <w:ind w:left="662"/>
            </w:pPr>
            <w:r>
              <w:rPr>
                <w:spacing w:val="-1"/>
              </w:rPr>
              <w:t>4577.00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215" w:line="184" w:lineRule="auto"/>
              <w:ind w:left="692"/>
            </w:pPr>
            <w:r>
              <w:rPr>
                <w:spacing w:val="-2"/>
              </w:rPr>
              <w:t>510.00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15" w:line="184" w:lineRule="auto"/>
              <w:ind w:left="844"/>
            </w:pPr>
            <w:r>
              <w:rPr>
                <w:spacing w:val="-4"/>
              </w:rPr>
              <w:t>170.00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16" w:line="183" w:lineRule="auto"/>
              <w:ind w:left="675"/>
            </w:pPr>
            <w:r>
              <w:rPr>
                <w:spacing w:val="-2"/>
              </w:rPr>
              <w:t>286.00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6" w:line="183" w:lineRule="auto"/>
              <w:ind w:left="356"/>
            </w:pPr>
            <w:r>
              <w:rPr>
                <w:spacing w:val="-2"/>
              </w:rPr>
              <w:t>82.00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16" w:line="183" w:lineRule="auto"/>
              <w:ind w:left="227"/>
            </w:pPr>
            <w:r>
              <w:rPr>
                <w:spacing w:val="-1"/>
              </w:rPr>
              <w:t>45642.00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6840" w:h="11920"/>
      <w:pgMar w:top="1013" w:right="394" w:bottom="400" w:left="675" w:header="0" w:footer="0" w:gutter="0"/>
      <w:cols w:equalWidth="0" w:num="1">
        <w:col w:w="157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NhODcxNjI2MjUxZmM2OTE3ZjY2ZjkyMmRlYjIzMDAifQ=="/>
  </w:docVars>
  <w:rsids>
    <w:rsidRoot w:val="00000000"/>
    <w:rsid w:val="2082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2024-02-01T17:01:00Z</dcterms:created>
  <dc:creator>Kingsoft-PDF</dc:creator>
  <cp:lastModifiedBy>奉你为王</cp:lastModifiedBy>
  <dcterms:modified xsi:type="dcterms:W3CDTF">2024-02-01T09:02:38Z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2024-02-01T17:01:56Z</vt:filetime>
  </property>
  <property fmtid="{D5CDD505-2E9C-101B-9397-08002B2CF9AE}" pid="4" name="UsrData">
    <vt:lpwstr>65bb5e00cf550f001fd2c6eawl</vt:lpwstr>
  </property>
  <property fmtid="{D5CDD505-2E9C-101B-9397-08002B2CF9AE}" pid="5" name="KSOProductBuildVer">
    <vt:lpwstr>2052-12.1.0.16250</vt:lpwstr>
  </property>
  <property fmtid="{D5CDD505-2E9C-101B-9397-08002B2CF9AE}" pid="6" name="ICV">
    <vt:lpwstr>36B793B35D014DDF86917F32F99BB699_13</vt:lpwstr>
  </property>
</Properties>
</file>